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B897F9D">
      <w:pPr>
        <w:ind w:firstLine="883"/>
        <w:jc w:val="center"/>
        <w:rPr>
          <w:rFonts w:hint="eastAsia" w:ascii="宋体" w:hAnsi="宋体" w:cs="宋体"/>
          <w:highlight w:val="none"/>
        </w:rPr>
      </w:pPr>
      <w:r>
        <w:rPr>
          <w:rFonts w:hint="eastAsia" w:ascii="宋体" w:hAnsi="宋体" w:cs="宋体"/>
          <w:b/>
          <w:bCs/>
          <w:sz w:val="44"/>
          <w:szCs w:val="44"/>
          <w:highlight w:val="none"/>
        </w:rPr>
        <w:t xml:space="preserve"> </w:t>
      </w:r>
    </w:p>
    <w:p w14:paraId="04F173B2">
      <w:pPr>
        <w:ind w:firstLine="883"/>
        <w:jc w:val="center"/>
        <w:rPr>
          <w:rFonts w:hint="eastAsia" w:ascii="宋体" w:hAnsi="宋体" w:cs="宋体"/>
          <w:b/>
          <w:bCs/>
          <w:sz w:val="44"/>
          <w:szCs w:val="44"/>
          <w:highlight w:val="none"/>
        </w:rPr>
      </w:pPr>
      <w:r>
        <w:rPr>
          <w:rFonts w:hint="eastAsia" w:ascii="宋体" w:hAnsi="宋体" w:cs="宋体"/>
          <w:b/>
          <w:bCs/>
          <w:sz w:val="44"/>
          <w:szCs w:val="44"/>
          <w:highlight w:val="none"/>
        </w:rPr>
        <w:t>山西潞安工程有限公司谈判文件</w:t>
      </w:r>
    </w:p>
    <w:p w14:paraId="3DF015FB">
      <w:pPr>
        <w:ind w:firstLine="883"/>
        <w:jc w:val="center"/>
        <w:rPr>
          <w:rFonts w:hint="eastAsia" w:ascii="宋体" w:hAnsi="宋体" w:cs="宋体"/>
          <w:b/>
          <w:bCs/>
          <w:sz w:val="44"/>
          <w:szCs w:val="44"/>
          <w:highlight w:val="none"/>
        </w:rPr>
      </w:pPr>
    </w:p>
    <w:p w14:paraId="3E881F5E">
      <w:pPr>
        <w:ind w:firstLine="1590" w:firstLineChars="495"/>
        <w:rPr>
          <w:rFonts w:hint="default" w:eastAsia="宋体"/>
          <w:b/>
          <w:bCs/>
          <w:sz w:val="32"/>
          <w:szCs w:val="32"/>
          <w:highlight w:val="none"/>
          <w:lang w:val="en-US" w:eastAsia="zh-CN"/>
        </w:rPr>
      </w:pPr>
      <w:r>
        <w:rPr>
          <w:rFonts w:hint="eastAsia" w:ascii="宋体" w:hAnsi="宋体" w:cs="宋体"/>
          <w:b/>
          <w:bCs/>
          <w:sz w:val="32"/>
          <w:szCs w:val="32"/>
          <w:highlight w:val="none"/>
        </w:rPr>
        <w:t>文件编号： LAGCGSDEFGS2026-</w:t>
      </w:r>
      <w:r>
        <w:rPr>
          <w:rFonts w:hint="eastAsia" w:ascii="宋体" w:hAnsi="宋体" w:cs="宋体"/>
          <w:b/>
          <w:bCs/>
          <w:sz w:val="32"/>
          <w:szCs w:val="32"/>
          <w:highlight w:val="none"/>
        </w:rPr>
        <w:t>0</w:t>
      </w:r>
      <w:r>
        <w:rPr>
          <w:rFonts w:hint="eastAsia" w:ascii="宋体" w:hAnsi="宋体" w:cs="宋体"/>
          <w:b/>
          <w:bCs/>
          <w:sz w:val="32"/>
          <w:szCs w:val="32"/>
          <w:highlight w:val="none"/>
          <w:lang w:val="en-US" w:eastAsia="zh-CN"/>
        </w:rPr>
        <w:t>21</w:t>
      </w:r>
    </w:p>
    <w:p w14:paraId="0728232E">
      <w:pPr>
        <w:ind w:firstLine="2187" w:firstLineChars="495"/>
        <w:rPr>
          <w:rFonts w:hint="eastAsia" w:ascii="宋体" w:hAnsi="宋体" w:cs="宋体"/>
          <w:b/>
          <w:bCs/>
          <w:sz w:val="44"/>
          <w:szCs w:val="44"/>
          <w:highlight w:val="none"/>
        </w:rPr>
      </w:pPr>
    </w:p>
    <w:p w14:paraId="29DA60DF">
      <w:pPr>
        <w:ind w:firstLine="2187" w:firstLineChars="495"/>
        <w:rPr>
          <w:rFonts w:hint="eastAsia" w:ascii="宋体" w:hAnsi="宋体" w:cs="宋体"/>
          <w:b/>
          <w:bCs/>
          <w:sz w:val="44"/>
          <w:szCs w:val="44"/>
          <w:highlight w:val="none"/>
        </w:rPr>
      </w:pPr>
    </w:p>
    <w:p w14:paraId="39C31797">
      <w:pPr>
        <w:pStyle w:val="14"/>
        <w:ind w:firstLine="210"/>
        <w:rPr>
          <w:rFonts w:hint="eastAsia" w:ascii="宋体" w:hAnsi="宋体" w:cs="宋体"/>
          <w:highlight w:val="none"/>
        </w:rPr>
      </w:pPr>
    </w:p>
    <w:p w14:paraId="0C6CC7C3">
      <w:pPr>
        <w:ind w:firstLine="2187" w:firstLineChars="495"/>
        <w:rPr>
          <w:rFonts w:hint="eastAsia" w:ascii="宋体" w:hAnsi="宋体" w:cs="宋体"/>
          <w:b/>
          <w:bCs/>
          <w:sz w:val="44"/>
          <w:szCs w:val="44"/>
          <w:highlight w:val="none"/>
        </w:rPr>
      </w:pPr>
    </w:p>
    <w:p w14:paraId="44383764">
      <w:pPr>
        <w:ind w:firstLine="2187" w:firstLineChars="495"/>
        <w:rPr>
          <w:rFonts w:hint="eastAsia" w:ascii="宋体" w:hAnsi="宋体" w:cs="宋体"/>
          <w:b/>
          <w:bCs/>
          <w:sz w:val="44"/>
          <w:szCs w:val="44"/>
          <w:highlight w:val="none"/>
        </w:rPr>
      </w:pPr>
    </w:p>
    <w:p w14:paraId="3BB1CFF8">
      <w:pPr>
        <w:ind w:firstLine="2187" w:firstLineChars="495"/>
        <w:rPr>
          <w:rFonts w:hint="eastAsia" w:ascii="宋体" w:hAnsi="宋体" w:cs="宋体"/>
          <w:b/>
          <w:bCs/>
          <w:sz w:val="44"/>
          <w:szCs w:val="44"/>
          <w:highlight w:val="none"/>
        </w:rPr>
      </w:pPr>
    </w:p>
    <w:p w14:paraId="2F84325D">
      <w:pPr>
        <w:ind w:firstLine="2187" w:firstLineChars="495"/>
        <w:rPr>
          <w:rFonts w:hint="eastAsia" w:ascii="宋体" w:hAnsi="宋体" w:cs="宋体"/>
          <w:b/>
          <w:bCs/>
          <w:sz w:val="44"/>
          <w:szCs w:val="44"/>
          <w:highlight w:val="none"/>
        </w:rPr>
      </w:pPr>
    </w:p>
    <w:p w14:paraId="7D8CE862">
      <w:pPr>
        <w:ind w:firstLine="2187" w:firstLineChars="495"/>
        <w:rPr>
          <w:rFonts w:hint="eastAsia" w:ascii="宋体" w:hAnsi="宋体" w:cs="宋体"/>
          <w:b/>
          <w:bCs/>
          <w:sz w:val="44"/>
          <w:szCs w:val="44"/>
          <w:highlight w:val="none"/>
        </w:rPr>
      </w:pPr>
    </w:p>
    <w:p w14:paraId="21BBE633">
      <w:pPr>
        <w:ind w:firstLine="2187" w:firstLineChars="495"/>
        <w:rPr>
          <w:rFonts w:hint="eastAsia" w:ascii="宋体" w:hAnsi="宋体" w:cs="宋体"/>
          <w:b/>
          <w:bCs/>
          <w:sz w:val="44"/>
          <w:szCs w:val="44"/>
          <w:highlight w:val="none"/>
        </w:rPr>
      </w:pPr>
    </w:p>
    <w:p w14:paraId="407AE9E6">
      <w:pPr>
        <w:ind w:firstLine="2187" w:firstLineChars="495"/>
        <w:rPr>
          <w:rFonts w:hint="eastAsia" w:ascii="宋体" w:hAnsi="宋体" w:cs="宋体"/>
          <w:b/>
          <w:bCs/>
          <w:sz w:val="44"/>
          <w:szCs w:val="44"/>
          <w:highlight w:val="none"/>
        </w:rPr>
      </w:pPr>
    </w:p>
    <w:p w14:paraId="466BFF4F">
      <w:pPr>
        <w:ind w:firstLine="2187" w:firstLineChars="495"/>
        <w:rPr>
          <w:rFonts w:hint="eastAsia" w:ascii="宋体" w:hAnsi="宋体" w:cs="宋体"/>
          <w:b/>
          <w:bCs/>
          <w:sz w:val="44"/>
          <w:szCs w:val="44"/>
          <w:highlight w:val="none"/>
        </w:rPr>
      </w:pPr>
    </w:p>
    <w:p w14:paraId="382E62F9">
      <w:pPr>
        <w:ind w:firstLine="2187" w:firstLineChars="495"/>
        <w:rPr>
          <w:rFonts w:hint="eastAsia" w:ascii="宋体" w:hAnsi="宋体" w:cs="宋体"/>
          <w:b/>
          <w:bCs/>
          <w:sz w:val="44"/>
          <w:szCs w:val="44"/>
          <w:highlight w:val="none"/>
        </w:rPr>
      </w:pPr>
    </w:p>
    <w:p w14:paraId="6697CC29">
      <w:pPr>
        <w:spacing w:line="500" w:lineRule="exact"/>
        <w:ind w:left="1601" w:leftChars="456" w:hanging="643" w:hangingChars="200"/>
        <w:jc w:val="left"/>
        <w:rPr>
          <w:rFonts w:hint="eastAsia" w:ascii="宋体" w:hAnsi="宋体" w:cs="宋体"/>
          <w:sz w:val="32"/>
          <w:szCs w:val="32"/>
          <w:highlight w:val="none"/>
        </w:rPr>
      </w:pPr>
      <w:r>
        <w:rPr>
          <w:rFonts w:hint="eastAsia" w:ascii="宋体" w:hAnsi="宋体" w:cs="宋体"/>
          <w:b/>
          <w:bCs/>
          <w:sz w:val="32"/>
          <w:szCs w:val="32"/>
          <w:highlight w:val="none"/>
        </w:rPr>
        <w:t>工程名称：</w:t>
      </w:r>
      <w:r>
        <w:rPr>
          <w:rFonts w:hint="eastAsia"/>
          <w:b/>
          <w:bCs/>
          <w:sz w:val="32"/>
          <w:szCs w:val="32"/>
          <w:highlight w:val="none"/>
          <w:u w:val="single"/>
        </w:rPr>
        <w:t>司马煤业采煤沉陷区（1206、1207、1208、1209、1213工作面）综合治理项目</w:t>
      </w:r>
    </w:p>
    <w:p w14:paraId="68803BB3">
      <w:pPr>
        <w:ind w:left="3514" w:leftChars="1216" w:hanging="960" w:hangingChars="300"/>
        <w:jc w:val="center"/>
        <w:rPr>
          <w:rFonts w:hint="eastAsia" w:ascii="宋体" w:hAnsi="宋体" w:cs="宋体"/>
          <w:sz w:val="32"/>
          <w:szCs w:val="32"/>
          <w:highlight w:val="none"/>
        </w:rPr>
      </w:pPr>
    </w:p>
    <w:p w14:paraId="1A7F3711">
      <w:pPr>
        <w:ind w:left="3514" w:leftChars="1216" w:hanging="960" w:hangingChars="300"/>
        <w:rPr>
          <w:rFonts w:hint="eastAsia" w:ascii="宋体" w:hAnsi="宋体" w:cs="宋体"/>
          <w:sz w:val="32"/>
          <w:szCs w:val="32"/>
          <w:highlight w:val="none"/>
        </w:rPr>
      </w:pPr>
    </w:p>
    <w:p w14:paraId="1D705661">
      <w:pPr>
        <w:ind w:firstLine="640"/>
        <w:jc w:val="center"/>
        <w:rPr>
          <w:rFonts w:hint="eastAsia" w:ascii="宋体" w:hAnsi="宋体" w:cs="宋体"/>
          <w:sz w:val="32"/>
          <w:szCs w:val="32"/>
          <w:highlight w:val="none"/>
        </w:rPr>
      </w:pPr>
      <w:r>
        <w:rPr>
          <w:rFonts w:hint="eastAsia" w:ascii="宋体" w:hAnsi="宋体" w:cs="宋体"/>
          <w:sz w:val="32"/>
          <w:szCs w:val="32"/>
          <w:highlight w:val="none"/>
        </w:rPr>
        <w:t>山西潞安工程有限公司</w:t>
      </w:r>
    </w:p>
    <w:p w14:paraId="79AE7A7C">
      <w:pPr>
        <w:ind w:firstLine="640"/>
        <w:jc w:val="center"/>
        <w:rPr>
          <w:rFonts w:hint="eastAsia" w:ascii="宋体" w:hAnsi="宋体" w:cs="宋体"/>
          <w:sz w:val="32"/>
          <w:szCs w:val="32"/>
          <w:highlight w:val="none"/>
        </w:rPr>
      </w:pPr>
      <w:r>
        <w:rPr>
          <w:rFonts w:hint="eastAsia" w:ascii="宋体" w:hAnsi="宋体" w:cs="宋体"/>
          <w:sz w:val="32"/>
          <w:szCs w:val="32"/>
          <w:highlight w:val="none"/>
          <w:u w:val="single"/>
        </w:rPr>
        <w:t xml:space="preserve">   </w:t>
      </w:r>
      <w:r>
        <w:rPr>
          <w:rFonts w:hint="eastAsia" w:ascii="宋体" w:hAnsi="宋体" w:cs="宋体"/>
          <w:sz w:val="32"/>
          <w:szCs w:val="32"/>
          <w:highlight w:val="none"/>
          <w:u w:val="single"/>
        </w:rPr>
        <w:t xml:space="preserve">2026  </w:t>
      </w:r>
      <w:r>
        <w:rPr>
          <w:rFonts w:hint="eastAsia" w:ascii="宋体" w:hAnsi="宋体" w:cs="宋体"/>
          <w:sz w:val="32"/>
          <w:szCs w:val="32"/>
          <w:highlight w:val="none"/>
        </w:rPr>
        <w:t>年</w:t>
      </w:r>
      <w:r>
        <w:rPr>
          <w:rFonts w:hint="eastAsia" w:ascii="宋体" w:hAnsi="宋体" w:cs="宋体"/>
          <w:sz w:val="32"/>
          <w:szCs w:val="32"/>
          <w:highlight w:val="none"/>
          <w:u w:val="single"/>
        </w:rPr>
        <w:t xml:space="preserve"> 9 </w:t>
      </w:r>
      <w:r>
        <w:rPr>
          <w:rFonts w:hint="eastAsia" w:ascii="宋体" w:hAnsi="宋体" w:cs="宋体"/>
          <w:sz w:val="32"/>
          <w:szCs w:val="32"/>
          <w:highlight w:val="none"/>
        </w:rPr>
        <w:t>月</w:t>
      </w:r>
    </w:p>
    <w:p w14:paraId="359DF08B">
      <w:pPr>
        <w:ind w:firstLine="883"/>
        <w:jc w:val="center"/>
        <w:rPr>
          <w:rFonts w:hint="eastAsia" w:ascii="宋体" w:hAnsi="宋体" w:cs="宋体"/>
          <w:b/>
          <w:bCs/>
          <w:sz w:val="44"/>
          <w:szCs w:val="44"/>
          <w:highlight w:val="none"/>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0721C3F7">
      <w:pPr>
        <w:spacing w:line="480" w:lineRule="auto"/>
        <w:ind w:firstLine="883"/>
        <w:jc w:val="center"/>
        <w:rPr>
          <w:rFonts w:hint="eastAsia" w:ascii="宋体" w:hAnsi="宋体" w:cs="宋体"/>
          <w:sz w:val="44"/>
          <w:szCs w:val="44"/>
          <w:highlight w:val="none"/>
        </w:rPr>
      </w:pPr>
      <w:r>
        <w:rPr>
          <w:rFonts w:hint="eastAsia" w:ascii="宋体" w:hAnsi="宋体" w:cs="宋体"/>
          <w:b/>
          <w:bCs/>
          <w:sz w:val="44"/>
          <w:szCs w:val="44"/>
          <w:highlight w:val="none"/>
        </w:rPr>
        <w:t>目 录</w:t>
      </w:r>
    </w:p>
    <w:p w14:paraId="35678870">
      <w:pPr>
        <w:spacing w:line="480" w:lineRule="auto"/>
        <w:ind w:firstLine="560"/>
        <w:rPr>
          <w:rFonts w:hint="eastAsia" w:ascii="宋体" w:hAnsi="宋体" w:cs="宋体"/>
          <w:sz w:val="28"/>
          <w:szCs w:val="28"/>
          <w:highlight w:val="none"/>
        </w:rPr>
      </w:pPr>
    </w:p>
    <w:p w14:paraId="5FEA02E2">
      <w:pPr>
        <w:spacing w:line="700" w:lineRule="exact"/>
        <w:rPr>
          <w:rFonts w:hint="eastAsia" w:ascii="宋体" w:hAnsi="宋体" w:cs="宋体"/>
          <w:sz w:val="24"/>
          <w:szCs w:val="24"/>
          <w:highlight w:val="none"/>
        </w:rPr>
      </w:pPr>
      <w:r>
        <w:rPr>
          <w:rFonts w:hint="eastAsia" w:ascii="宋体" w:hAnsi="宋体" w:cs="宋体"/>
          <w:sz w:val="24"/>
          <w:szCs w:val="24"/>
          <w:highlight w:val="none"/>
        </w:rPr>
        <w:t>第一部分 邀请通知 ...............................................2</w:t>
      </w:r>
    </w:p>
    <w:p w14:paraId="2F7D7BE8">
      <w:pPr>
        <w:spacing w:line="700" w:lineRule="exact"/>
        <w:rPr>
          <w:rFonts w:hint="eastAsia" w:ascii="宋体" w:hAnsi="宋体" w:cs="宋体"/>
          <w:sz w:val="24"/>
          <w:szCs w:val="24"/>
          <w:highlight w:val="none"/>
        </w:rPr>
      </w:pPr>
      <w:r>
        <w:rPr>
          <w:rFonts w:hint="eastAsia" w:ascii="宋体" w:hAnsi="宋体" w:cs="宋体"/>
          <w:sz w:val="24"/>
          <w:szCs w:val="24"/>
          <w:highlight w:val="none"/>
        </w:rPr>
        <w:t xml:space="preserve">第二部分 </w:t>
      </w:r>
      <w:r>
        <w:rPr>
          <w:rFonts w:hint="eastAsia" w:ascii="宋体" w:hAnsi="宋体" w:cs="宋体"/>
          <w:bCs/>
          <w:sz w:val="24"/>
          <w:szCs w:val="24"/>
          <w:highlight w:val="none"/>
        </w:rPr>
        <w:t>须知</w:t>
      </w:r>
      <w:r>
        <w:rPr>
          <w:rFonts w:hint="eastAsia" w:ascii="宋体" w:hAnsi="宋体" w:cs="宋体"/>
          <w:sz w:val="24"/>
          <w:szCs w:val="24"/>
          <w:highlight w:val="none"/>
        </w:rPr>
        <w:t>.....................................................3</w:t>
      </w:r>
    </w:p>
    <w:p w14:paraId="7C074B05">
      <w:pPr>
        <w:spacing w:line="700" w:lineRule="exact"/>
        <w:rPr>
          <w:rFonts w:hint="eastAsia" w:ascii="宋体" w:hAnsi="宋体" w:cs="宋体"/>
          <w:sz w:val="24"/>
          <w:szCs w:val="24"/>
          <w:highlight w:val="none"/>
        </w:rPr>
      </w:pPr>
      <w:r>
        <w:rPr>
          <w:rFonts w:hint="eastAsia" w:ascii="宋体" w:hAnsi="宋体" w:cs="宋体"/>
          <w:sz w:val="24"/>
          <w:szCs w:val="24"/>
          <w:highlight w:val="none"/>
        </w:rPr>
        <w:t>第三部分 合同条款.................................................4</w:t>
      </w:r>
    </w:p>
    <w:p w14:paraId="3ED5F38E">
      <w:pPr>
        <w:spacing w:line="700" w:lineRule="exact"/>
        <w:rPr>
          <w:rFonts w:hint="eastAsia" w:ascii="宋体" w:hAnsi="宋体" w:cs="宋体"/>
          <w:sz w:val="24"/>
          <w:szCs w:val="24"/>
          <w:highlight w:val="none"/>
        </w:rPr>
      </w:pPr>
      <w:r>
        <w:rPr>
          <w:rFonts w:hint="eastAsia" w:ascii="宋体" w:hAnsi="宋体" w:cs="宋体"/>
          <w:sz w:val="24"/>
          <w:szCs w:val="24"/>
          <w:highlight w:val="none"/>
        </w:rPr>
        <w:t>第四部分 谈判文件装订顺序及标准...................................31</w:t>
      </w:r>
    </w:p>
    <w:p w14:paraId="30ED686D">
      <w:pPr>
        <w:spacing w:line="700" w:lineRule="exact"/>
        <w:rPr>
          <w:rFonts w:hint="eastAsia" w:ascii="宋体" w:hAnsi="宋体" w:cs="宋体"/>
          <w:sz w:val="24"/>
          <w:szCs w:val="24"/>
          <w:highlight w:val="none"/>
        </w:rPr>
      </w:pPr>
      <w:r>
        <w:rPr>
          <w:rFonts w:hint="eastAsia" w:ascii="宋体" w:hAnsi="宋体" w:cs="宋体"/>
          <w:sz w:val="24"/>
          <w:szCs w:val="24"/>
          <w:highlight w:val="none"/>
        </w:rPr>
        <w:t>第五部分 报价函部分格式 ..........................................32</w:t>
      </w:r>
    </w:p>
    <w:p w14:paraId="1ECBEF46">
      <w:pPr>
        <w:spacing w:line="700" w:lineRule="exact"/>
        <w:rPr>
          <w:rFonts w:hint="eastAsia" w:ascii="宋体" w:hAnsi="宋体" w:cs="宋体"/>
          <w:sz w:val="24"/>
          <w:szCs w:val="24"/>
          <w:highlight w:val="none"/>
        </w:rPr>
      </w:pPr>
      <w:r>
        <w:rPr>
          <w:rFonts w:hint="eastAsia" w:ascii="宋体" w:hAnsi="宋体" w:cs="宋体"/>
          <w:sz w:val="24"/>
          <w:szCs w:val="24"/>
          <w:highlight w:val="none"/>
        </w:rPr>
        <w:t>附件   邀请回复 ..................................................37</w:t>
      </w:r>
    </w:p>
    <w:p w14:paraId="10A70376">
      <w:pPr>
        <w:rPr>
          <w:rFonts w:hint="eastAsia" w:ascii="宋体" w:hAnsi="宋体" w:cs="宋体"/>
          <w:sz w:val="24"/>
          <w:szCs w:val="24"/>
          <w:highlight w:val="none"/>
        </w:rPr>
      </w:pPr>
    </w:p>
    <w:p w14:paraId="723C6DBA">
      <w:pPr>
        <w:rPr>
          <w:rFonts w:hint="eastAsia" w:ascii="宋体" w:hAnsi="宋体" w:cs="宋体"/>
          <w:sz w:val="24"/>
          <w:szCs w:val="24"/>
          <w:highlight w:val="none"/>
        </w:rPr>
      </w:pPr>
    </w:p>
    <w:p w14:paraId="134A6AB0">
      <w:pPr>
        <w:rPr>
          <w:rFonts w:hint="eastAsia" w:ascii="宋体" w:hAnsi="宋体" w:cs="宋体"/>
          <w:sz w:val="24"/>
          <w:szCs w:val="24"/>
          <w:highlight w:val="none"/>
        </w:rPr>
      </w:pPr>
    </w:p>
    <w:p w14:paraId="28EBADFE">
      <w:pPr>
        <w:rPr>
          <w:rFonts w:hint="eastAsia" w:ascii="宋体" w:hAnsi="宋体" w:cs="宋体"/>
          <w:sz w:val="24"/>
          <w:szCs w:val="24"/>
          <w:highlight w:val="none"/>
        </w:rPr>
      </w:pPr>
    </w:p>
    <w:p w14:paraId="747EAAC2">
      <w:pPr>
        <w:rPr>
          <w:rFonts w:hint="eastAsia" w:ascii="宋体" w:hAnsi="宋体" w:cs="宋体"/>
          <w:sz w:val="24"/>
          <w:szCs w:val="24"/>
          <w:highlight w:val="none"/>
        </w:rPr>
      </w:pPr>
    </w:p>
    <w:p w14:paraId="3A69CB3D">
      <w:pPr>
        <w:rPr>
          <w:rFonts w:hint="eastAsia" w:ascii="宋体" w:hAnsi="宋体" w:cs="宋体"/>
          <w:sz w:val="24"/>
          <w:szCs w:val="24"/>
          <w:highlight w:val="none"/>
        </w:rPr>
      </w:pPr>
    </w:p>
    <w:p w14:paraId="07A6B942">
      <w:pPr>
        <w:rPr>
          <w:rFonts w:hint="eastAsia" w:ascii="宋体" w:hAnsi="宋体" w:cs="宋体"/>
          <w:sz w:val="24"/>
          <w:szCs w:val="24"/>
          <w:highlight w:val="none"/>
        </w:rPr>
      </w:pPr>
    </w:p>
    <w:p w14:paraId="221DC124">
      <w:pPr>
        <w:rPr>
          <w:rFonts w:hint="eastAsia" w:ascii="宋体" w:hAnsi="宋体" w:cs="宋体"/>
          <w:sz w:val="24"/>
          <w:szCs w:val="24"/>
          <w:highlight w:val="none"/>
        </w:rPr>
      </w:pPr>
    </w:p>
    <w:p w14:paraId="6A874357">
      <w:pPr>
        <w:rPr>
          <w:rFonts w:hint="eastAsia" w:ascii="宋体" w:hAnsi="宋体" w:cs="宋体"/>
          <w:sz w:val="24"/>
          <w:szCs w:val="24"/>
          <w:highlight w:val="none"/>
        </w:rPr>
      </w:pPr>
    </w:p>
    <w:p w14:paraId="622F4276">
      <w:pPr>
        <w:rPr>
          <w:rFonts w:hint="eastAsia" w:ascii="宋体" w:hAnsi="宋体" w:cs="宋体"/>
          <w:sz w:val="24"/>
          <w:szCs w:val="24"/>
          <w:highlight w:val="none"/>
        </w:rPr>
      </w:pPr>
    </w:p>
    <w:p w14:paraId="4A158B3F">
      <w:pPr>
        <w:rPr>
          <w:rFonts w:hint="eastAsia" w:ascii="宋体" w:hAnsi="宋体" w:cs="宋体"/>
          <w:sz w:val="24"/>
          <w:szCs w:val="24"/>
          <w:highlight w:val="none"/>
        </w:rPr>
      </w:pPr>
    </w:p>
    <w:p w14:paraId="378BDCAF">
      <w:pPr>
        <w:ind w:firstLine="482"/>
        <w:rPr>
          <w:rFonts w:hint="eastAsia" w:ascii="宋体" w:hAnsi="宋体" w:cs="宋体"/>
          <w:b/>
          <w:bCs/>
          <w:sz w:val="24"/>
          <w:szCs w:val="24"/>
          <w:highlight w:val="none"/>
        </w:rPr>
      </w:pPr>
    </w:p>
    <w:p w14:paraId="0B9DF587">
      <w:pPr>
        <w:spacing w:line="580" w:lineRule="exact"/>
        <w:ind w:firstLine="482"/>
        <w:jc w:val="center"/>
        <w:rPr>
          <w:rFonts w:hint="eastAsia" w:ascii="宋体" w:hAnsi="宋体" w:cs="宋体"/>
          <w:b/>
          <w:bCs/>
          <w:sz w:val="24"/>
          <w:szCs w:val="24"/>
          <w:highlight w:val="none"/>
        </w:rPr>
      </w:pPr>
    </w:p>
    <w:p w14:paraId="45E0E840">
      <w:pPr>
        <w:spacing w:line="580" w:lineRule="exact"/>
        <w:ind w:firstLine="482"/>
        <w:jc w:val="center"/>
        <w:rPr>
          <w:rFonts w:hint="eastAsia" w:ascii="宋体" w:hAnsi="宋体" w:cs="宋体"/>
          <w:b/>
          <w:bCs/>
          <w:sz w:val="24"/>
          <w:szCs w:val="24"/>
          <w:highlight w:val="none"/>
        </w:rPr>
      </w:pPr>
    </w:p>
    <w:p w14:paraId="603ABF88">
      <w:pPr>
        <w:spacing w:line="580" w:lineRule="exact"/>
        <w:ind w:firstLine="482"/>
        <w:jc w:val="center"/>
        <w:rPr>
          <w:rFonts w:hint="eastAsia" w:ascii="宋体" w:hAnsi="宋体" w:cs="宋体"/>
          <w:b/>
          <w:bCs/>
          <w:sz w:val="24"/>
          <w:szCs w:val="24"/>
          <w:highlight w:val="none"/>
        </w:rPr>
      </w:pPr>
    </w:p>
    <w:p w14:paraId="48D2ADE8">
      <w:pPr>
        <w:spacing w:line="580" w:lineRule="exact"/>
        <w:ind w:firstLine="482"/>
        <w:jc w:val="center"/>
        <w:rPr>
          <w:rFonts w:hint="eastAsia" w:ascii="宋体" w:hAnsi="宋体" w:cs="宋体"/>
          <w:b/>
          <w:bCs/>
          <w:sz w:val="24"/>
          <w:szCs w:val="24"/>
          <w:highlight w:val="none"/>
        </w:rPr>
      </w:pPr>
    </w:p>
    <w:p w14:paraId="55666D87">
      <w:pPr>
        <w:spacing w:line="580" w:lineRule="exact"/>
        <w:ind w:firstLine="482"/>
        <w:jc w:val="center"/>
        <w:rPr>
          <w:rFonts w:hint="eastAsia" w:ascii="宋体" w:hAnsi="宋体" w:cs="宋体"/>
          <w:b/>
          <w:bCs/>
          <w:sz w:val="24"/>
          <w:szCs w:val="24"/>
          <w:highlight w:val="none"/>
        </w:rPr>
      </w:pPr>
    </w:p>
    <w:p w14:paraId="5584C27C">
      <w:pPr>
        <w:spacing w:line="580" w:lineRule="exact"/>
        <w:ind w:firstLine="482"/>
        <w:jc w:val="center"/>
        <w:rPr>
          <w:rFonts w:hint="eastAsia" w:ascii="宋体" w:hAnsi="宋体" w:cs="宋体"/>
          <w:b/>
          <w:bCs/>
          <w:sz w:val="24"/>
          <w:szCs w:val="24"/>
          <w:highlight w:val="none"/>
        </w:rPr>
      </w:pPr>
    </w:p>
    <w:p w14:paraId="61260535">
      <w:pPr>
        <w:spacing w:line="580" w:lineRule="exact"/>
        <w:ind w:firstLine="482"/>
        <w:jc w:val="center"/>
        <w:rPr>
          <w:rFonts w:hint="eastAsia" w:ascii="宋体" w:hAnsi="宋体" w:cs="宋体"/>
          <w:b/>
          <w:bCs/>
          <w:sz w:val="24"/>
          <w:szCs w:val="24"/>
          <w:highlight w:val="none"/>
        </w:rPr>
      </w:pPr>
    </w:p>
    <w:p w14:paraId="0AA2AD41">
      <w:pPr>
        <w:spacing w:line="580" w:lineRule="exact"/>
        <w:ind w:firstLine="482"/>
        <w:jc w:val="center"/>
        <w:rPr>
          <w:rFonts w:hint="eastAsia" w:ascii="宋体" w:hAnsi="宋体" w:cs="宋体"/>
          <w:b/>
          <w:bCs/>
          <w:sz w:val="24"/>
          <w:szCs w:val="24"/>
          <w:highlight w:val="none"/>
        </w:rPr>
      </w:pPr>
    </w:p>
    <w:p w14:paraId="1DDD58C7">
      <w:pPr>
        <w:spacing w:line="500" w:lineRule="exact"/>
        <w:ind w:firstLine="482"/>
        <w:jc w:val="center"/>
        <w:rPr>
          <w:rFonts w:hint="eastAsia" w:ascii="宋体" w:hAnsi="宋体" w:cs="宋体"/>
          <w:sz w:val="24"/>
          <w:szCs w:val="24"/>
          <w:highlight w:val="none"/>
        </w:rPr>
      </w:pPr>
      <w:r>
        <w:rPr>
          <w:rFonts w:hint="eastAsia" w:ascii="宋体" w:hAnsi="宋体" w:cs="宋体"/>
          <w:b/>
          <w:bCs/>
          <w:sz w:val="24"/>
          <w:szCs w:val="24"/>
          <w:highlight w:val="none"/>
        </w:rPr>
        <w:t>第一部分   邀请通知</w:t>
      </w:r>
    </w:p>
    <w:p w14:paraId="4FA38CAE">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一、山西潞安工程有限公司就</w:t>
      </w:r>
      <w:r>
        <w:rPr>
          <w:rFonts w:hint="eastAsia" w:ascii="宋体" w:hAnsi="宋体" w:cs="宋体"/>
          <w:sz w:val="24"/>
          <w:szCs w:val="24"/>
          <w:highlight w:val="none"/>
          <w:u w:val="single"/>
        </w:rPr>
        <w:t>司马煤业采煤沉陷区（1206、1207、1208、1209、1213工作面）综合治理项目</w:t>
      </w:r>
      <w:r>
        <w:rPr>
          <w:rFonts w:hint="eastAsia" w:ascii="宋体" w:hAnsi="宋体" w:cs="宋体"/>
          <w:sz w:val="24"/>
          <w:szCs w:val="24"/>
          <w:highlight w:val="none"/>
        </w:rPr>
        <w:t>工程以谈判方式进行工程施工合同谈判。欢迎符合相应资格的单位前来报价。</w:t>
      </w:r>
    </w:p>
    <w:p w14:paraId="5058C680">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二、承包人名称：</w:t>
      </w:r>
      <w:r>
        <w:rPr>
          <w:rFonts w:hint="eastAsia" w:ascii="宋体" w:hAnsi="宋体" w:cs="宋体"/>
          <w:sz w:val="24"/>
          <w:szCs w:val="24"/>
          <w:highlight w:val="none"/>
          <w:u w:val="single"/>
        </w:rPr>
        <w:t xml:space="preserve">      山西潞安工程有限公司      </w:t>
      </w:r>
    </w:p>
    <w:p w14:paraId="78C40DCA">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三、项目名称：</w:t>
      </w:r>
      <w:r>
        <w:rPr>
          <w:rFonts w:hint="eastAsia" w:ascii="宋体" w:hAnsi="宋体" w:cs="宋体"/>
          <w:sz w:val="24"/>
          <w:szCs w:val="24"/>
          <w:highlight w:val="none"/>
          <w:u w:val="single"/>
        </w:rPr>
        <w:t>司马煤业采煤沉陷区（1206、1207、1208、1209、1213工作面）综合治理项目</w:t>
      </w:r>
    </w:p>
    <w:p w14:paraId="1451F0CD">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四、施工方资质要求：</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rPr>
        <w:t>营业执照范围具备土地整治服务项目或土石方工程或分包资质范围地基基础叁级及以上专业承包资质。</w:t>
      </w:r>
    </w:p>
    <w:p w14:paraId="268FAA09">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五、资金来源：自筹</w:t>
      </w:r>
      <w:r>
        <w:rPr>
          <w:rFonts w:hint="eastAsia" w:ascii="宋体" w:hAnsi="宋体"/>
          <w:sz w:val="28"/>
          <w:szCs w:val="28"/>
          <w:highlight w:val="none"/>
        </w:rPr>
        <w:t>。</w:t>
      </w:r>
    </w:p>
    <w:p w14:paraId="707AF2A2">
      <w:pPr>
        <w:pStyle w:val="48"/>
        <w:spacing w:before="20" w:after="20" w:line="520" w:lineRule="exact"/>
        <w:ind w:left="249" w:right="23" w:firstLine="480" w:firstLineChars="200"/>
        <w:rPr>
          <w:rFonts w:hint="eastAsia" w:ascii="宋体" w:hAnsi="宋体" w:cs="宋体"/>
          <w:szCs w:val="24"/>
          <w:highlight w:val="none"/>
        </w:rPr>
      </w:pPr>
      <w:r>
        <w:rPr>
          <w:rFonts w:hint="eastAsia" w:ascii="宋体" w:hAnsi="宋体" w:cs="宋体"/>
          <w:szCs w:val="24"/>
          <w:highlight w:val="none"/>
        </w:rPr>
        <w:t>六、工程概况：</w:t>
      </w:r>
    </w:p>
    <w:p w14:paraId="37BB291D">
      <w:pPr>
        <w:pStyle w:val="48"/>
        <w:spacing w:before="20" w:after="20" w:line="520" w:lineRule="exact"/>
        <w:ind w:right="23"/>
        <w:rPr>
          <w:rFonts w:hint="eastAsia" w:ascii="宋体" w:hAnsi="宋体" w:cs="宋体"/>
          <w:szCs w:val="24"/>
          <w:highlight w:val="none"/>
          <w:u w:val="single"/>
        </w:rPr>
      </w:pPr>
      <w:r>
        <w:rPr>
          <w:rFonts w:hint="eastAsia" w:ascii="宋体" w:hAnsi="宋体" w:cs="宋体"/>
          <w:szCs w:val="24"/>
          <w:highlight w:val="none"/>
        </w:rPr>
        <w:t>1、</w:t>
      </w:r>
      <w:r>
        <w:rPr>
          <w:rFonts w:ascii="宋体" w:hAnsi="宋体" w:cs="宋体"/>
          <w:szCs w:val="24"/>
          <w:highlight w:val="none"/>
          <w:u w:val="single"/>
        </w:rPr>
        <w:t>图纸范围内的土地复垦项目的工程施工,项目区总面积128.5608hm2，包括（1）土壤重构工程:包括土壤剥覆工程（表土剥离、表土回覆、土方调运、底土平整、土地翻耕等）；（2）土壤培肥工程：包括硫酸亚铁、精制有机肥；（3）配套复垦工程:包括修复田间路工程、修复农田水利工程、水池修复工程、林地复垦工程等</w:t>
      </w:r>
      <w:r>
        <w:rPr>
          <w:rFonts w:hint="eastAsia" w:ascii="宋体" w:hAnsi="宋体" w:cs="宋体"/>
          <w:szCs w:val="24"/>
          <w:highlight w:val="none"/>
          <w:u w:val="single"/>
        </w:rPr>
        <w:t>。</w:t>
      </w:r>
    </w:p>
    <w:p w14:paraId="2225058B">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2、工程分包范围及要求：</w:t>
      </w:r>
    </w:p>
    <w:p w14:paraId="01526E55">
      <w:pPr>
        <w:spacing w:line="500" w:lineRule="exact"/>
        <w:ind w:firstLine="480" w:firstLineChars="200"/>
        <w:rPr>
          <w:rFonts w:hint="eastAsia" w:ascii="宋体" w:hAnsi="宋体" w:cs="宋体"/>
          <w:sz w:val="24"/>
          <w:szCs w:val="24"/>
          <w:highlight w:val="none"/>
          <w:u w:val="single"/>
        </w:rPr>
      </w:pPr>
      <w:r>
        <w:rPr>
          <w:rFonts w:ascii="宋体" w:hAnsi="宋体" w:cs="宋体"/>
          <w:sz w:val="24"/>
          <w:szCs w:val="24"/>
          <w:highlight w:val="none"/>
          <w:u w:val="single"/>
        </w:rPr>
        <w:t>施工图纸范围内TK1-TK97：包括表土剥离、表土回覆、土方调运、底土平整、土地翻耕等。（具体内容结合实际，详见清单）。</w:t>
      </w:r>
    </w:p>
    <w:p w14:paraId="2CC2B15D">
      <w:pPr>
        <w:widowControl/>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3、图纸未详尽的部分按现行规范要求施工。</w:t>
      </w:r>
    </w:p>
    <w:p w14:paraId="441AF522">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4、作业总日历天数为：</w:t>
      </w:r>
      <w:r>
        <w:rPr>
          <w:rFonts w:hint="eastAsia" w:ascii="宋体" w:hAnsi="宋体" w:cs="宋体"/>
          <w:kern w:val="0"/>
          <w:sz w:val="24"/>
          <w:szCs w:val="24"/>
          <w:highlight w:val="none"/>
          <w:u w:val="single"/>
        </w:rPr>
        <w:t>具备开工条件4个月内</w:t>
      </w:r>
      <w:r>
        <w:rPr>
          <w:rFonts w:hint="eastAsia" w:ascii="宋体" w:hAnsi="宋体" w:cs="宋体"/>
          <w:sz w:val="24"/>
          <w:szCs w:val="24"/>
          <w:highlight w:val="none"/>
        </w:rPr>
        <w:t>。</w:t>
      </w:r>
      <w:r>
        <w:rPr>
          <w:rFonts w:hint="eastAsia" w:ascii="宋体" w:hAnsi="宋体" w:cs="宋体"/>
          <w:sz w:val="24"/>
          <w:szCs w:val="24"/>
          <w:highlight w:val="none"/>
        </w:rPr>
        <w:t>实际开工日期与计划开工日期不一致的，以承包人签发的开工通知载明的日期为准。</w:t>
      </w:r>
    </w:p>
    <w:p w14:paraId="593AE39B">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七、工程最高控制价：</w:t>
      </w:r>
      <w:r>
        <w:rPr>
          <w:rFonts w:ascii="宋体" w:hAnsi="宋体" w:cs="宋体"/>
          <w:sz w:val="24"/>
          <w:szCs w:val="24"/>
          <w:highlight w:val="none"/>
          <w:u w:val="single"/>
        </w:rPr>
        <w:t>5136514.13元</w:t>
      </w:r>
      <w:r>
        <w:rPr>
          <w:rFonts w:hint="eastAsia" w:ascii="宋体" w:hAnsi="宋体" w:cs="宋体"/>
          <w:sz w:val="24"/>
          <w:szCs w:val="24"/>
          <w:highlight w:val="none"/>
          <w:u w:val="single"/>
        </w:rPr>
        <w:t>。</w:t>
      </w:r>
    </w:p>
    <w:p w14:paraId="433A8B5F">
      <w:pPr>
        <w:numPr>
          <w:ilvl w:val="0"/>
          <w:numId w:val="1"/>
        </w:numPr>
        <w:spacing w:line="500" w:lineRule="exact"/>
        <w:ind w:firstLine="240" w:firstLineChars="100"/>
        <w:rPr>
          <w:rFonts w:hint="eastAsia" w:ascii="宋体" w:hAnsi="宋体" w:cs="宋体"/>
          <w:sz w:val="24"/>
          <w:szCs w:val="24"/>
          <w:highlight w:val="none"/>
        </w:rPr>
      </w:pPr>
      <w:r>
        <w:rPr>
          <w:rFonts w:hint="eastAsia" w:ascii="宋体" w:hAnsi="宋体" w:cs="宋体"/>
          <w:sz w:val="24"/>
          <w:szCs w:val="24"/>
          <w:highlight w:val="none"/>
        </w:rPr>
        <w:t>谈判时间、地点：</w:t>
      </w:r>
    </w:p>
    <w:p w14:paraId="3801A217">
      <w:pPr>
        <w:spacing w:line="500" w:lineRule="exact"/>
        <w:ind w:firstLine="240" w:firstLineChars="100"/>
        <w:rPr>
          <w:rFonts w:hint="eastAsia" w:ascii="宋体" w:hAnsi="宋体" w:cs="宋体"/>
          <w:sz w:val="24"/>
          <w:szCs w:val="24"/>
          <w:highlight w:val="none"/>
          <w:u w:val="single"/>
        </w:rPr>
      </w:pPr>
      <w:r>
        <w:rPr>
          <w:rFonts w:hint="eastAsia" w:ascii="宋体" w:hAnsi="宋体" w:cs="宋体"/>
          <w:sz w:val="24"/>
          <w:szCs w:val="24"/>
          <w:highlight w:val="none"/>
        </w:rPr>
        <w:t>时间：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rPr>
        <w:t xml:space="preserve">2026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9</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7</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r>
        <w:rPr>
          <w:rFonts w:hint="eastAsia" w:ascii="宋体" w:hAnsi="宋体" w:cs="宋体"/>
          <w:sz w:val="24"/>
          <w:szCs w:val="24"/>
          <w:highlight w:val="none"/>
          <w:u w:val="single"/>
        </w:rPr>
        <w:t xml:space="preserve"> 下午</w:t>
      </w:r>
      <w:r>
        <w:rPr>
          <w:rFonts w:hint="eastAsia" w:ascii="宋体" w:hAnsi="宋体" w:cs="宋体"/>
          <w:sz w:val="24"/>
          <w:szCs w:val="24"/>
          <w:highlight w:val="none"/>
          <w:u w:val="single"/>
          <w:lang w:val="en-US" w:eastAsia="zh-CN"/>
        </w:rPr>
        <w:t>15</w:t>
      </w:r>
      <w:r>
        <w:rPr>
          <w:rFonts w:hint="eastAsia" w:ascii="宋体" w:hAnsi="宋体" w:cs="宋体"/>
          <w:sz w:val="24"/>
          <w:szCs w:val="24"/>
          <w:highlight w:val="none"/>
          <w:u w:val="single"/>
        </w:rPr>
        <w:t>点</w:t>
      </w:r>
      <w:r>
        <w:rPr>
          <w:rFonts w:hint="eastAsia" w:ascii="宋体" w:hAnsi="宋体" w:cs="宋体"/>
          <w:sz w:val="24"/>
          <w:szCs w:val="24"/>
          <w:highlight w:val="none"/>
          <w:u w:val="single"/>
        </w:rPr>
        <w:t xml:space="preserve"> </w:t>
      </w:r>
    </w:p>
    <w:p w14:paraId="31B41962">
      <w:pPr>
        <w:spacing w:line="500" w:lineRule="exact"/>
        <w:ind w:firstLine="240" w:firstLineChars="100"/>
        <w:rPr>
          <w:rFonts w:hint="eastAsia" w:ascii="宋体" w:hAnsi="宋体" w:cs="宋体"/>
          <w:sz w:val="24"/>
          <w:szCs w:val="24"/>
          <w:highlight w:val="none"/>
          <w:u w:val="single"/>
        </w:rPr>
      </w:pPr>
      <w:r>
        <w:rPr>
          <w:rFonts w:hint="eastAsia" w:ascii="宋体" w:hAnsi="宋体" w:cs="宋体"/>
          <w:sz w:val="24"/>
          <w:szCs w:val="24"/>
          <w:highlight w:val="none"/>
        </w:rPr>
        <w:t>地点：</w:t>
      </w:r>
      <w:r>
        <w:rPr>
          <w:rFonts w:hint="eastAsia" w:ascii="宋体" w:hAnsi="宋体" w:cs="宋体"/>
          <w:sz w:val="24"/>
          <w:szCs w:val="24"/>
          <w:highlight w:val="none"/>
          <w:u w:val="single"/>
        </w:rPr>
        <w:t xml:space="preserve">   山西潞安工程有限公司第二分公司二层会议室</w:t>
      </w:r>
    </w:p>
    <w:p w14:paraId="653E93F3">
      <w:pPr>
        <w:tabs>
          <w:tab w:val="left" w:pos="3855"/>
        </w:tabs>
        <w:spacing w:line="500" w:lineRule="exact"/>
        <w:ind w:firstLine="240" w:firstLineChars="100"/>
        <w:rPr>
          <w:rFonts w:hint="eastAsia" w:ascii="宋体" w:hAnsi="宋体" w:cs="宋体"/>
          <w:sz w:val="24"/>
          <w:szCs w:val="24"/>
          <w:highlight w:val="none"/>
        </w:rPr>
      </w:pPr>
      <w:r>
        <w:rPr>
          <w:rFonts w:hint="eastAsia" w:ascii="宋体" w:hAnsi="宋体" w:cs="宋体"/>
          <w:sz w:val="24"/>
          <w:szCs w:val="24"/>
          <w:highlight w:val="none"/>
        </w:rPr>
        <w:t>九、现场勘查或图纸查阅联系人：</w:t>
      </w:r>
    </w:p>
    <w:p w14:paraId="2CBEB8D4">
      <w:pPr>
        <w:tabs>
          <w:tab w:val="left" w:pos="3855"/>
        </w:tabs>
        <w:spacing w:line="360" w:lineRule="auto"/>
        <w:ind w:firstLine="480" w:firstLineChars="200"/>
        <w:rPr>
          <w:rFonts w:hint="eastAsia" w:ascii="宋体" w:hAnsi="宋体" w:cs="宋体"/>
          <w:color w:val="0000FF"/>
          <w:sz w:val="24"/>
          <w:szCs w:val="24"/>
          <w:highlight w:val="none"/>
        </w:rPr>
      </w:pPr>
      <w:r>
        <w:rPr>
          <w:rFonts w:hint="eastAsia" w:ascii="宋体" w:hAnsi="宋体" w:cs="宋体"/>
          <w:sz w:val="24"/>
          <w:szCs w:val="24"/>
          <w:highlight w:val="none"/>
        </w:rPr>
        <w:t>项目负责人： 仇传颂               联系方式：15835572321</w:t>
      </w:r>
    </w:p>
    <w:p w14:paraId="2BC577E8">
      <w:pPr>
        <w:widowControl/>
        <w:spacing w:line="360" w:lineRule="auto"/>
        <w:ind w:firstLine="480" w:firstLineChars="200"/>
        <w:jc w:val="left"/>
        <w:rPr>
          <w:rFonts w:hint="eastAsia" w:ascii="宋体" w:hAnsi="宋体" w:cs="宋体"/>
          <w:b/>
          <w:bCs/>
          <w:sz w:val="24"/>
          <w:szCs w:val="24"/>
          <w:highlight w:val="none"/>
        </w:rPr>
      </w:pPr>
      <w:r>
        <w:rPr>
          <w:rFonts w:hint="eastAsia" w:ascii="宋体" w:hAnsi="宋体" w:cs="宋体"/>
          <w:sz w:val="24"/>
          <w:szCs w:val="24"/>
          <w:highlight w:val="none"/>
        </w:rPr>
        <w:t>文件咨询联系人：曹瑞娟            联系方式：</w:t>
      </w:r>
      <w:r>
        <w:rPr>
          <w:rFonts w:ascii="宋体" w:hAnsi="宋体" w:cs="宋体"/>
          <w:sz w:val="24"/>
          <w:szCs w:val="24"/>
          <w:highlight w:val="none"/>
        </w:rPr>
        <w:t>13403559540</w:t>
      </w:r>
    </w:p>
    <w:p w14:paraId="5195BF6B">
      <w:pPr>
        <w:spacing w:line="500" w:lineRule="exact"/>
        <w:ind w:firstLine="220" w:firstLineChars="100"/>
        <w:rPr>
          <w:rFonts w:hint="eastAsia" w:ascii="宋体" w:hAnsi="宋体" w:cs="宋体"/>
          <w:sz w:val="22"/>
          <w:szCs w:val="22"/>
          <w:highlight w:val="none"/>
        </w:rPr>
        <w:sectPr>
          <w:pgSz w:w="11906" w:h="16838"/>
          <w:pgMar w:top="1304" w:right="1385" w:bottom="1304" w:left="1417" w:header="851" w:footer="992" w:gutter="0"/>
          <w:cols w:space="0" w:num="1"/>
          <w:docGrid w:type="lines" w:linePitch="312" w:charSpace="0"/>
        </w:sectPr>
      </w:pPr>
    </w:p>
    <w:p w14:paraId="78DD584A">
      <w:pPr>
        <w:spacing w:line="500" w:lineRule="exact"/>
        <w:ind w:firstLine="482"/>
        <w:jc w:val="center"/>
        <w:rPr>
          <w:rFonts w:hint="eastAsia" w:ascii="宋体" w:hAnsi="宋体" w:cs="宋体"/>
          <w:sz w:val="24"/>
          <w:szCs w:val="24"/>
          <w:highlight w:val="none"/>
        </w:rPr>
      </w:pPr>
      <w:r>
        <w:rPr>
          <w:rFonts w:hint="eastAsia" w:ascii="宋体" w:hAnsi="宋体" w:cs="宋体"/>
          <w:b/>
          <w:bCs/>
          <w:sz w:val="24"/>
          <w:szCs w:val="24"/>
          <w:highlight w:val="none"/>
        </w:rPr>
        <w:t>第二部分    须知</w:t>
      </w:r>
    </w:p>
    <w:p w14:paraId="5E9108B7">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一、本次谈判依据我公司《潞安工程公司工程施工分包管理办法（修订）》，采用谈判方式选择工程项目施工队伍，诚邀具有</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rPr>
        <w:t>营业执照范围具备土地整治服务项目或土石方工程或分包资质范围地基基础叁级及以上专业承包资质</w:t>
      </w:r>
      <w:r>
        <w:rPr>
          <w:rFonts w:hint="eastAsia" w:ascii="宋体" w:hAnsi="宋体" w:cs="宋体"/>
          <w:sz w:val="24"/>
          <w:szCs w:val="24"/>
          <w:highlight w:val="none"/>
        </w:rPr>
        <w:t>的施工单位踊跃参与谈判。</w:t>
      </w:r>
    </w:p>
    <w:p w14:paraId="7D083BCE">
      <w:pPr>
        <w:widowControl/>
        <w:spacing w:line="48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 xml:space="preserve">二、意向参加本次竞价报价谈判的工程施工单位应在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rPr>
        <w:t>2026 年9月</w:t>
      </w:r>
      <w:r>
        <w:rPr>
          <w:rFonts w:hint="eastAsia" w:ascii="宋体" w:hAnsi="宋体" w:cs="宋体"/>
          <w:sz w:val="24"/>
          <w:szCs w:val="24"/>
          <w:highlight w:val="none"/>
          <w:u w:val="single"/>
          <w:lang w:val="en-US" w:eastAsia="zh-CN"/>
        </w:rPr>
        <w:t xml:space="preserve"> 6</w:t>
      </w:r>
      <w:bookmarkStart w:id="137" w:name="_GoBack"/>
      <w:bookmarkEnd w:id="137"/>
      <w:r>
        <w:rPr>
          <w:rFonts w:hint="eastAsia" w:ascii="宋体" w:hAnsi="宋体" w:cs="宋体"/>
          <w:sz w:val="24"/>
          <w:szCs w:val="24"/>
          <w:highlight w:val="none"/>
          <w:u w:val="single"/>
        </w:rPr>
        <w:t>日下午17:00</w:t>
      </w:r>
      <w:r>
        <w:rPr>
          <w:rFonts w:hint="eastAsia" w:ascii="宋体" w:hAnsi="宋体" w:cs="宋体"/>
          <w:sz w:val="24"/>
          <w:szCs w:val="24"/>
          <w:highlight w:val="none"/>
        </w:rPr>
        <w:t>点</w:t>
      </w:r>
      <w:r>
        <w:rPr>
          <w:rFonts w:hint="eastAsia" w:ascii="宋体" w:hAnsi="宋体" w:cs="宋体"/>
          <w:sz w:val="24"/>
          <w:szCs w:val="24"/>
          <w:highlight w:val="none"/>
        </w:rPr>
        <w:t>前做出参与谈判的邀请回复，邀请回复须以电子版形式发送至指定邮箱：</w:t>
      </w:r>
      <w:r>
        <w:rPr>
          <w:rFonts w:ascii="宋体" w:hAnsi="宋体" w:cs="宋体"/>
          <w:sz w:val="24"/>
          <w:szCs w:val="24"/>
          <w:highlight w:val="none"/>
          <w:u w:val="single"/>
        </w:rPr>
        <w:t>szfgsgcb@126.com</w:t>
      </w:r>
      <w:r>
        <w:rPr>
          <w:rFonts w:hint="eastAsia" w:ascii="宋体" w:hAnsi="宋体" w:cs="宋体"/>
          <w:sz w:val="24"/>
          <w:szCs w:val="24"/>
          <w:highlight w:val="none"/>
        </w:rPr>
        <w:t xml:space="preserve"> 。                         </w:t>
      </w:r>
    </w:p>
    <w:p w14:paraId="3FEB3A2F">
      <w:pPr>
        <w:widowControl/>
        <w:spacing w:line="48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有意向参加工程施工谈判的施工单位未按规定日期参加谈判、无故不参加谈判或恶意谈判的，直接取消其谈判资格，并视情节严重情况列入我公司“暂缓合作名单”；在工程项目谈判过程中如发现有串通报价情形，一经发现，谈判结果无效，相关单位及相关人员三年内不得进入公司承揽施工业务。</w:t>
      </w:r>
    </w:p>
    <w:p w14:paraId="3E23E9BA">
      <w:pPr>
        <w:widowControl/>
        <w:numPr>
          <w:ilvl w:val="0"/>
          <w:numId w:val="2"/>
        </w:numPr>
        <w:spacing w:line="48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计算规则：</w:t>
      </w:r>
      <w:r>
        <w:rPr>
          <w:rFonts w:hint="eastAsia" w:ascii="宋体" w:hAnsi="宋体" w:cs="宋体"/>
          <w:sz w:val="24"/>
          <w:szCs w:val="24"/>
          <w:highlight w:val="none"/>
          <w:u w:val="single"/>
        </w:rPr>
        <w:t>按《2012土地开发整理项目预算定额标准》。</w:t>
      </w:r>
    </w:p>
    <w:p w14:paraId="02CA5772">
      <w:pPr>
        <w:widowControl/>
        <w:spacing w:line="48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rPr>
        <w:t>合同价款计算办法：</w:t>
      </w:r>
      <w:r>
        <w:rPr>
          <w:rFonts w:hint="eastAsia" w:ascii="宋体" w:hAnsi="宋体" w:cs="宋体"/>
          <w:sz w:val="24"/>
          <w:szCs w:val="24"/>
          <w:highlight w:val="none"/>
          <w:u w:val="single"/>
        </w:rPr>
        <w:t>按照双方认可的工程量*单价进行计算。</w:t>
      </w:r>
    </w:p>
    <w:p w14:paraId="27895FD8">
      <w:pPr>
        <w:widowControl/>
        <w:spacing w:line="48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四、参加谈判的施工单位必须按要求同时提交委托代理人与单位签订的劳动合同和保险证明、法人、委托代理人身份证复印件（加盖公章）；</w:t>
      </w:r>
    </w:p>
    <w:p w14:paraId="5C2EBA7C">
      <w:pPr>
        <w:widowControl/>
        <w:spacing w:line="48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五、农民工工资保证金：中标的施工单位须在合同签订后一周内，按公司制度规定缴纳农民工保证金，单项合同人工费总价在10万元～50万元的，农民工工资保证金按照分包合同人工费总价的20%约定；单项合同人工费总价在50万元以上～100万元的，农民工工资保证金按照分包合同人工费总价的10%约定；单项合同人工费总价在100万元以上的，农民工工资保证金按照分包合同人工费总价的5%约定；单项合同人工费总价小于10万元，农民工工资保证金不需缴纳；分包合同执行单价分包的，须预计分包合同总价。</w:t>
      </w:r>
    </w:p>
    <w:p w14:paraId="07B50FCD">
      <w:pPr>
        <w:widowControl/>
        <w:spacing w:line="48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六、谈判原则：</w:t>
      </w:r>
    </w:p>
    <w:p w14:paraId="482BDC67">
      <w:pPr>
        <w:widowControl/>
        <w:spacing w:line="48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一）合理低价原则；</w:t>
      </w:r>
    </w:p>
    <w:p w14:paraId="55B32658">
      <w:pPr>
        <w:widowControl/>
        <w:spacing w:line="48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二）“公平、择优、效益”原则；</w:t>
      </w:r>
    </w:p>
    <w:p w14:paraId="54D2F062">
      <w:pPr>
        <w:widowControl/>
        <w:spacing w:line="48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三）保密性原则。</w:t>
      </w:r>
    </w:p>
    <w:p w14:paraId="3B5CC774">
      <w:pPr>
        <w:widowControl/>
        <w:spacing w:line="48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七、参加谈判的施工单位必须按照谈判文件要求填写，未按要求填写或未提交相应资料，我单位有权取消其谈判资格。</w:t>
      </w:r>
    </w:p>
    <w:p w14:paraId="715C7D89">
      <w:pPr>
        <w:spacing w:line="500" w:lineRule="exact"/>
        <w:ind w:firstLine="482"/>
        <w:jc w:val="center"/>
        <w:rPr>
          <w:rFonts w:hint="eastAsia" w:ascii="宋体" w:hAnsi="宋体" w:cs="宋体"/>
          <w:b/>
          <w:bCs/>
          <w:sz w:val="24"/>
          <w:szCs w:val="24"/>
          <w:highlight w:val="none"/>
        </w:rPr>
      </w:pPr>
      <w:r>
        <w:rPr>
          <w:rFonts w:hint="eastAsia" w:ascii="宋体" w:hAnsi="宋体" w:cs="宋体"/>
          <w:b/>
          <w:bCs/>
          <w:sz w:val="24"/>
          <w:szCs w:val="24"/>
          <w:highlight w:val="none"/>
        </w:rPr>
        <w:br w:type="page"/>
      </w:r>
      <w:r>
        <w:rPr>
          <w:rFonts w:hint="eastAsia" w:ascii="宋体" w:hAnsi="宋体" w:cs="宋体"/>
          <w:b/>
          <w:bCs/>
          <w:sz w:val="24"/>
          <w:szCs w:val="24"/>
          <w:highlight w:val="none"/>
        </w:rPr>
        <w:t>第三部分    合同条款</w:t>
      </w:r>
    </w:p>
    <w:p w14:paraId="0448ED28">
      <w:pPr>
        <w:spacing w:line="500" w:lineRule="exact"/>
        <w:jc w:val="center"/>
        <w:rPr>
          <w:rFonts w:hint="eastAsia" w:ascii="宋体" w:hAnsi="宋体" w:cs="宋体"/>
          <w:sz w:val="24"/>
          <w:szCs w:val="24"/>
          <w:highlight w:val="none"/>
        </w:rPr>
      </w:pPr>
      <w:bookmarkStart w:id="0" w:name="_Toc384137521"/>
      <w:bookmarkStart w:id="1" w:name="_Toc389602795"/>
      <w:bookmarkStart w:id="2" w:name="_Toc383940876"/>
      <w:bookmarkStart w:id="3" w:name="_Toc389663452"/>
      <w:bookmarkStart w:id="4" w:name="_Toc384026350"/>
      <w:r>
        <w:rPr>
          <w:rFonts w:hint="eastAsia" w:ascii="宋体" w:hAnsi="宋体" w:cs="宋体"/>
          <w:sz w:val="24"/>
          <w:szCs w:val="24"/>
          <w:highlight w:val="none"/>
        </w:rPr>
        <w:t>第一部分 合同协议书</w:t>
      </w:r>
      <w:bookmarkEnd w:id="0"/>
      <w:bookmarkEnd w:id="1"/>
      <w:bookmarkEnd w:id="2"/>
      <w:bookmarkEnd w:id="3"/>
      <w:bookmarkEnd w:id="4"/>
    </w:p>
    <w:p w14:paraId="7CBEB8B9">
      <w:pPr>
        <w:spacing w:line="500" w:lineRule="exact"/>
        <w:ind w:firstLine="472" w:firstLineChars="196"/>
        <w:rPr>
          <w:rFonts w:hint="eastAsia" w:ascii="宋体" w:hAnsi="宋体" w:cs="宋体"/>
          <w:b/>
          <w:sz w:val="24"/>
          <w:szCs w:val="24"/>
          <w:highlight w:val="none"/>
        </w:rPr>
      </w:pPr>
      <w:r>
        <w:rPr>
          <w:rFonts w:hint="eastAsia" w:ascii="宋体" w:hAnsi="宋体" w:cs="宋体"/>
          <w:b/>
          <w:sz w:val="24"/>
          <w:szCs w:val="24"/>
          <w:highlight w:val="none"/>
        </w:rPr>
        <w:t xml:space="preserve">承包人 ：山西潞安工程有限公司        </w:t>
      </w:r>
    </w:p>
    <w:p w14:paraId="3BC17CF4">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注册地址: 山西省长治市屯留区渔泽镇北渔泽村西</w:t>
      </w:r>
    </w:p>
    <w:p w14:paraId="08E37E47">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电话：0355-5945905</w:t>
      </w:r>
    </w:p>
    <w:p w14:paraId="1A7010E8">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纳税人身份：一般纳税人</w:t>
      </w:r>
    </w:p>
    <w:p w14:paraId="58456713">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纳税人识别号：911404240730571472</w:t>
      </w:r>
    </w:p>
    <w:p w14:paraId="79903916">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开户银行名称：建行山西省长治市常村分理处</w:t>
      </w:r>
    </w:p>
    <w:p w14:paraId="2CEB047E">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开户银行账号：14001648539050010229</w:t>
      </w:r>
    </w:p>
    <w:p w14:paraId="4F182738">
      <w:pPr>
        <w:spacing w:line="500" w:lineRule="exact"/>
        <w:ind w:firstLine="472" w:firstLineChars="196"/>
        <w:rPr>
          <w:rFonts w:hint="eastAsia" w:ascii="宋体" w:hAnsi="宋体" w:cs="宋体"/>
          <w:b/>
          <w:sz w:val="24"/>
          <w:szCs w:val="24"/>
          <w:highlight w:val="none"/>
        </w:rPr>
      </w:pPr>
    </w:p>
    <w:p w14:paraId="6CA57A30">
      <w:pPr>
        <w:spacing w:line="500" w:lineRule="exact"/>
        <w:ind w:firstLine="482" w:firstLineChars="200"/>
        <w:rPr>
          <w:rFonts w:hint="eastAsia" w:ascii="宋体" w:hAnsi="宋体" w:cs="宋体"/>
          <w:sz w:val="24"/>
          <w:szCs w:val="24"/>
          <w:highlight w:val="none"/>
          <w:u w:val="single"/>
        </w:rPr>
      </w:pPr>
      <w:r>
        <w:rPr>
          <w:rFonts w:hint="eastAsia" w:ascii="宋体" w:hAnsi="宋体" w:cs="宋体"/>
          <w:b/>
          <w:sz w:val="24"/>
          <w:szCs w:val="24"/>
          <w:highlight w:val="none"/>
        </w:rPr>
        <w:t xml:space="preserve">分包人 ： </w:t>
      </w:r>
      <w:r>
        <w:rPr>
          <w:rFonts w:hint="eastAsia" w:ascii="宋体" w:hAnsi="宋体" w:cs="宋体"/>
          <w:sz w:val="24"/>
          <w:szCs w:val="24"/>
          <w:highlight w:val="none"/>
        </w:rPr>
        <w:t xml:space="preserve"> </w:t>
      </w:r>
      <w:r>
        <w:rPr>
          <w:rFonts w:hint="eastAsia" w:ascii="宋体" w:hAnsi="宋体" w:cs="宋体"/>
          <w:sz w:val="24"/>
          <w:szCs w:val="24"/>
          <w:highlight w:val="none"/>
          <w:u w:val="single"/>
        </w:rPr>
        <w:t xml:space="preserve">    </w:t>
      </w:r>
      <w:r>
        <w:rPr>
          <w:rFonts w:hint="eastAsia" w:ascii="宋体" w:hAnsi="宋体" w:cs="宋体"/>
          <w:b/>
          <w:sz w:val="24"/>
          <w:szCs w:val="24"/>
          <w:highlight w:val="none"/>
          <w:u w:val="single"/>
        </w:rPr>
        <w:t xml:space="preserve">             </w:t>
      </w:r>
      <w:r>
        <w:rPr>
          <w:rFonts w:hint="eastAsia" w:ascii="宋体" w:hAnsi="宋体" w:cs="宋体"/>
          <w:sz w:val="24"/>
          <w:szCs w:val="24"/>
          <w:highlight w:val="none"/>
          <w:u w:val="single"/>
        </w:rPr>
        <w:t xml:space="preserve"> </w:t>
      </w:r>
    </w:p>
    <w:p w14:paraId="234D8464">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 xml:space="preserve">注册地址： </w:t>
      </w:r>
      <w:r>
        <w:rPr>
          <w:rFonts w:hint="eastAsia" w:ascii="宋体" w:hAnsi="宋体" w:cs="宋体"/>
          <w:sz w:val="24"/>
          <w:szCs w:val="24"/>
          <w:highlight w:val="none"/>
          <w:u w:val="single"/>
        </w:rPr>
        <w:t xml:space="preserve">                  </w:t>
      </w:r>
    </w:p>
    <w:p w14:paraId="6FDCBB07">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电话：</w:t>
      </w:r>
      <w:r>
        <w:rPr>
          <w:rFonts w:hint="eastAsia" w:ascii="宋体" w:hAnsi="宋体" w:cs="宋体"/>
          <w:sz w:val="24"/>
          <w:szCs w:val="24"/>
          <w:highlight w:val="none"/>
          <w:u w:val="single"/>
        </w:rPr>
        <w:t xml:space="preserve">                       </w:t>
      </w:r>
    </w:p>
    <w:p w14:paraId="01FFFF6C">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纳税人身份：</w:t>
      </w:r>
      <w:r>
        <w:rPr>
          <w:rFonts w:hint="eastAsia" w:ascii="宋体" w:hAnsi="宋体" w:cs="宋体"/>
          <w:sz w:val="24"/>
          <w:szCs w:val="24"/>
          <w:highlight w:val="none"/>
          <w:u w:val="single"/>
        </w:rPr>
        <w:t xml:space="preserve">                </w:t>
      </w:r>
      <w:r>
        <w:rPr>
          <w:rFonts w:hint="eastAsia" w:ascii="宋体" w:hAnsi="宋体" w:cs="宋体"/>
          <w:b/>
          <w:sz w:val="24"/>
          <w:szCs w:val="24"/>
          <w:highlight w:val="none"/>
          <w:u w:val="single"/>
        </w:rPr>
        <w:t xml:space="preserve"> </w:t>
      </w:r>
    </w:p>
    <w:p w14:paraId="54F679B8">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纳税人识别号：</w:t>
      </w:r>
      <w:r>
        <w:rPr>
          <w:rFonts w:hint="eastAsia" w:ascii="宋体" w:hAnsi="宋体" w:cs="宋体"/>
          <w:sz w:val="24"/>
          <w:szCs w:val="24"/>
          <w:highlight w:val="none"/>
          <w:u w:val="single"/>
        </w:rPr>
        <w:t xml:space="preserve">              </w:t>
      </w:r>
      <w:r>
        <w:rPr>
          <w:rFonts w:hint="eastAsia" w:ascii="宋体" w:hAnsi="宋体" w:cs="宋体"/>
          <w:b/>
          <w:sz w:val="24"/>
          <w:szCs w:val="24"/>
          <w:highlight w:val="none"/>
          <w:u w:val="single"/>
        </w:rPr>
        <w:t xml:space="preserve"> </w:t>
      </w:r>
    </w:p>
    <w:p w14:paraId="0EA87D7D">
      <w:pPr>
        <w:spacing w:line="500" w:lineRule="exact"/>
        <w:ind w:firstLine="480" w:firstLineChars="200"/>
        <w:rPr>
          <w:rFonts w:hint="eastAsia" w:ascii="宋体" w:hAnsi="宋体" w:cs="宋体"/>
          <w:b/>
          <w:sz w:val="24"/>
          <w:szCs w:val="24"/>
          <w:highlight w:val="none"/>
          <w:u w:val="single"/>
        </w:rPr>
      </w:pPr>
      <w:r>
        <w:rPr>
          <w:rFonts w:hint="eastAsia" w:ascii="宋体" w:hAnsi="宋体" w:cs="宋体"/>
          <w:sz w:val="24"/>
          <w:szCs w:val="24"/>
          <w:highlight w:val="none"/>
        </w:rPr>
        <w:t>开户银行名称：</w:t>
      </w:r>
      <w:r>
        <w:rPr>
          <w:rFonts w:hint="eastAsia" w:ascii="宋体" w:hAnsi="宋体" w:cs="宋体"/>
          <w:sz w:val="24"/>
          <w:szCs w:val="24"/>
          <w:highlight w:val="none"/>
          <w:u w:val="single"/>
        </w:rPr>
        <w:t xml:space="preserve">              </w:t>
      </w:r>
      <w:r>
        <w:rPr>
          <w:rFonts w:hint="eastAsia" w:ascii="宋体" w:hAnsi="宋体" w:cs="宋体"/>
          <w:b/>
          <w:sz w:val="24"/>
          <w:szCs w:val="24"/>
          <w:highlight w:val="none"/>
          <w:u w:val="single"/>
        </w:rPr>
        <w:t xml:space="preserve"> </w:t>
      </w:r>
    </w:p>
    <w:p w14:paraId="70E2CF44">
      <w:pPr>
        <w:spacing w:line="500" w:lineRule="exact"/>
        <w:ind w:firstLine="480" w:firstLineChars="200"/>
        <w:rPr>
          <w:rFonts w:hint="eastAsia" w:ascii="宋体" w:hAnsi="宋体" w:cs="宋体"/>
          <w:i/>
          <w:sz w:val="24"/>
          <w:szCs w:val="24"/>
          <w:highlight w:val="none"/>
        </w:rPr>
      </w:pPr>
      <w:r>
        <w:rPr>
          <w:rFonts w:hint="eastAsia" w:ascii="宋体" w:hAnsi="宋体" w:cs="宋体"/>
          <w:sz w:val="24"/>
          <w:szCs w:val="24"/>
          <w:highlight w:val="none"/>
        </w:rPr>
        <w:t>开户银行账号：</w:t>
      </w:r>
      <w:r>
        <w:rPr>
          <w:rFonts w:hint="eastAsia" w:ascii="宋体" w:hAnsi="宋体" w:cs="宋体"/>
          <w:sz w:val="24"/>
          <w:szCs w:val="24"/>
          <w:highlight w:val="none"/>
          <w:u w:val="single"/>
        </w:rPr>
        <w:t xml:space="preserve">              </w:t>
      </w:r>
      <w:r>
        <w:rPr>
          <w:rFonts w:hint="eastAsia" w:ascii="宋体" w:hAnsi="宋体" w:cs="宋体"/>
          <w:b/>
          <w:sz w:val="24"/>
          <w:szCs w:val="24"/>
          <w:highlight w:val="none"/>
          <w:u w:val="single"/>
        </w:rPr>
        <w:t xml:space="preserve"> </w:t>
      </w:r>
    </w:p>
    <w:p w14:paraId="48366002">
      <w:pPr>
        <w:wordWrap w:val="0"/>
        <w:adjustRightInd w:val="0"/>
        <w:snapToGrid w:val="0"/>
        <w:spacing w:line="500" w:lineRule="exact"/>
        <w:ind w:firstLine="482" w:firstLineChars="200"/>
        <w:rPr>
          <w:rFonts w:hint="eastAsia" w:ascii="宋体" w:hAnsi="宋体" w:cs="宋体"/>
          <w:b/>
          <w:sz w:val="24"/>
          <w:szCs w:val="24"/>
          <w:highlight w:val="none"/>
        </w:rPr>
      </w:pPr>
    </w:p>
    <w:p w14:paraId="690E13C0">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根据《中华人民共和国民法典》、《中华人民共和国建筑法》及有关法律规定，遵循平等、自愿、公平和诚实信用的原则，双方就</w:t>
      </w:r>
      <w:r>
        <w:rPr>
          <w:rFonts w:hint="eastAsia" w:ascii="宋体" w:hAnsi="宋体" w:cs="宋体"/>
          <w:sz w:val="24"/>
          <w:szCs w:val="24"/>
          <w:highlight w:val="none"/>
          <w:u w:val="single"/>
        </w:rPr>
        <w:t>司马煤业采煤沉陷区（1206、1207、1208、1209、1213工作面）综合治理项目</w:t>
      </w:r>
      <w:r>
        <w:rPr>
          <w:rFonts w:hint="eastAsia" w:ascii="宋体" w:hAnsi="宋体" w:cs="宋体"/>
          <w:sz w:val="24"/>
          <w:szCs w:val="24"/>
          <w:highlight w:val="none"/>
          <w:u w:val="single"/>
        </w:rPr>
        <w:t xml:space="preserve"> </w:t>
      </w:r>
      <w:r>
        <w:rPr>
          <w:rFonts w:hint="eastAsia" w:ascii="宋体" w:hAnsi="宋体" w:cs="宋体"/>
          <w:sz w:val="24"/>
          <w:szCs w:val="24"/>
          <w:highlight w:val="none"/>
        </w:rPr>
        <w:t>专业分包工程施工及有关事项协商一致，共同达成如下协议：</w:t>
      </w:r>
    </w:p>
    <w:p w14:paraId="5C18A396">
      <w:pPr>
        <w:wordWrap w:val="0"/>
        <w:adjustRightInd w:val="0"/>
        <w:snapToGrid w:val="0"/>
        <w:spacing w:line="500" w:lineRule="exact"/>
        <w:ind w:firstLine="472" w:firstLineChars="196"/>
        <w:rPr>
          <w:rFonts w:hint="eastAsia" w:ascii="宋体" w:hAnsi="宋体" w:cs="宋体"/>
          <w:b/>
          <w:bCs/>
          <w:sz w:val="24"/>
          <w:szCs w:val="24"/>
          <w:highlight w:val="none"/>
        </w:rPr>
      </w:pPr>
      <w:bookmarkStart w:id="5" w:name="_Toc384026351"/>
      <w:bookmarkStart w:id="6" w:name="_Toc384137522"/>
      <w:bookmarkStart w:id="7" w:name="_Toc389602796"/>
      <w:bookmarkStart w:id="8" w:name="_Toc389663453"/>
      <w:bookmarkStart w:id="9" w:name="_Toc383940877"/>
      <w:r>
        <w:rPr>
          <w:rFonts w:hint="eastAsia" w:ascii="宋体" w:hAnsi="宋体" w:cs="宋体"/>
          <w:b/>
          <w:bCs/>
          <w:sz w:val="24"/>
          <w:szCs w:val="24"/>
          <w:highlight w:val="none"/>
        </w:rPr>
        <w:t>一、</w:t>
      </w:r>
      <w:bookmarkEnd w:id="5"/>
      <w:bookmarkEnd w:id="6"/>
      <w:bookmarkEnd w:id="7"/>
      <w:bookmarkEnd w:id="8"/>
      <w:bookmarkEnd w:id="9"/>
      <w:r>
        <w:rPr>
          <w:rFonts w:hint="eastAsia" w:ascii="宋体" w:hAnsi="宋体" w:cs="宋体"/>
          <w:b/>
          <w:bCs/>
          <w:sz w:val="24"/>
          <w:szCs w:val="24"/>
          <w:highlight w:val="none"/>
        </w:rPr>
        <w:t xml:space="preserve"> </w:t>
      </w:r>
      <w:bookmarkStart w:id="10" w:name="_Toc351203481"/>
      <w:bookmarkStart w:id="11" w:name="_Toc371493141"/>
      <w:bookmarkStart w:id="12" w:name="_Toc389586296"/>
      <w:bookmarkStart w:id="13" w:name="_Toc383940878"/>
      <w:bookmarkStart w:id="14" w:name="_Toc389602797"/>
      <w:bookmarkStart w:id="15" w:name="_Toc384137523"/>
      <w:bookmarkStart w:id="16" w:name="_Toc384026352"/>
      <w:bookmarkStart w:id="17" w:name="_Toc389663454"/>
      <w:r>
        <w:rPr>
          <w:rFonts w:hint="eastAsia" w:ascii="宋体" w:hAnsi="宋体" w:cs="宋体"/>
          <w:b/>
          <w:bCs/>
          <w:sz w:val="24"/>
          <w:szCs w:val="24"/>
          <w:highlight w:val="none"/>
        </w:rPr>
        <w:t>分包工程概况</w:t>
      </w:r>
      <w:bookmarkEnd w:id="10"/>
      <w:bookmarkEnd w:id="11"/>
      <w:bookmarkEnd w:id="12"/>
    </w:p>
    <w:p w14:paraId="38488E7B">
      <w:pPr>
        <w:spacing w:line="500" w:lineRule="exact"/>
        <w:ind w:firstLine="480" w:firstLineChars="200"/>
        <w:rPr>
          <w:rFonts w:hint="eastAsia" w:ascii="宋体" w:hAnsi="宋体" w:cs="宋体"/>
          <w:bCs/>
          <w:sz w:val="24"/>
          <w:szCs w:val="24"/>
          <w:highlight w:val="none"/>
          <w:u w:val="single"/>
        </w:rPr>
      </w:pPr>
      <w:r>
        <w:rPr>
          <w:rFonts w:hint="eastAsia" w:ascii="宋体" w:hAnsi="宋体" w:cs="宋体"/>
          <w:bCs/>
          <w:sz w:val="24"/>
          <w:szCs w:val="24"/>
          <w:highlight w:val="none"/>
        </w:rPr>
        <w:t>（一）总包工程名称</w:t>
      </w:r>
      <w:r>
        <w:rPr>
          <w:rFonts w:hint="eastAsia" w:ascii="宋体" w:hAnsi="宋体" w:cs="宋体"/>
          <w:sz w:val="24"/>
          <w:szCs w:val="24"/>
          <w:highlight w:val="none"/>
        </w:rPr>
        <w:t>：</w:t>
      </w:r>
      <w:r>
        <w:rPr>
          <w:rFonts w:hint="eastAsia" w:ascii="宋体" w:hAnsi="宋体" w:cs="宋体"/>
          <w:sz w:val="24"/>
          <w:szCs w:val="24"/>
          <w:highlight w:val="none"/>
          <w:u w:val="single"/>
        </w:rPr>
        <w:t>司马煤业采煤沉陷区（1206、1207、1208、1209、1213工作面）综合治理项目</w:t>
      </w:r>
    </w:p>
    <w:p w14:paraId="528EC81E">
      <w:pPr>
        <w:wordWrap w:val="0"/>
        <w:adjustRightInd w:val="0"/>
        <w:snapToGrid w:val="0"/>
        <w:spacing w:line="500" w:lineRule="exact"/>
        <w:ind w:firstLine="470" w:firstLineChars="196"/>
        <w:rPr>
          <w:rFonts w:hint="eastAsia" w:ascii="宋体" w:hAnsi="宋体" w:cs="宋体"/>
          <w:sz w:val="24"/>
          <w:szCs w:val="24"/>
          <w:highlight w:val="none"/>
          <w:u w:val="single"/>
        </w:rPr>
      </w:pPr>
      <w:r>
        <w:rPr>
          <w:rFonts w:hint="eastAsia" w:ascii="宋体" w:hAnsi="宋体" w:cs="宋体"/>
          <w:bCs/>
          <w:sz w:val="24"/>
          <w:szCs w:val="24"/>
          <w:highlight w:val="none"/>
        </w:rPr>
        <w:t>（二）分包工程名称：</w:t>
      </w:r>
      <w:r>
        <w:rPr>
          <w:rFonts w:hint="eastAsia" w:ascii="宋体" w:hAnsi="宋体" w:cs="宋体"/>
          <w:sz w:val="24"/>
          <w:szCs w:val="24"/>
          <w:highlight w:val="none"/>
          <w:u w:val="single"/>
        </w:rPr>
        <w:t>司马煤业采煤沉陷区（1206、1207、1208、1209、1213工作面）综合治理项目</w:t>
      </w:r>
    </w:p>
    <w:p w14:paraId="4AA01305">
      <w:pPr>
        <w:wordWrap w:val="0"/>
        <w:adjustRightInd w:val="0"/>
        <w:snapToGrid w:val="0"/>
        <w:spacing w:line="500" w:lineRule="exact"/>
        <w:ind w:firstLine="470" w:firstLineChars="196"/>
        <w:rPr>
          <w:rFonts w:hint="eastAsia" w:ascii="宋体" w:hAnsi="宋体" w:cs="宋体"/>
          <w:bCs/>
          <w:sz w:val="24"/>
          <w:szCs w:val="24"/>
          <w:highlight w:val="none"/>
          <w:u w:val="single"/>
        </w:rPr>
      </w:pPr>
      <w:r>
        <w:rPr>
          <w:rFonts w:hint="eastAsia" w:ascii="宋体" w:hAnsi="宋体" w:cs="宋体"/>
          <w:bCs/>
          <w:sz w:val="24"/>
          <w:szCs w:val="24"/>
          <w:highlight w:val="none"/>
        </w:rPr>
        <w:t>（三）分包工程地点：</w:t>
      </w:r>
      <w:r>
        <w:rPr>
          <w:rFonts w:hint="eastAsia" w:ascii="宋体" w:hAnsi="宋体" w:cs="宋体"/>
          <w:bCs/>
          <w:sz w:val="24"/>
          <w:szCs w:val="24"/>
          <w:highlight w:val="none"/>
          <w:u w:val="single"/>
        </w:rPr>
        <w:t>长治市上党区</w:t>
      </w:r>
    </w:p>
    <w:p w14:paraId="7A0684C6">
      <w:pPr>
        <w:wordWrap w:val="0"/>
        <w:adjustRightInd w:val="0"/>
        <w:snapToGrid w:val="0"/>
        <w:spacing w:line="500" w:lineRule="exact"/>
        <w:ind w:firstLine="472" w:firstLineChars="196"/>
        <w:rPr>
          <w:rFonts w:hint="eastAsia" w:ascii="宋体" w:hAnsi="宋体" w:cs="宋体"/>
          <w:bCs/>
          <w:sz w:val="24"/>
          <w:szCs w:val="24"/>
          <w:highlight w:val="none"/>
        </w:rPr>
      </w:pPr>
      <w:r>
        <w:rPr>
          <w:rFonts w:hint="eastAsia" w:ascii="宋体" w:hAnsi="宋体" w:cs="宋体"/>
          <w:b/>
          <w:bCs/>
          <w:sz w:val="24"/>
          <w:szCs w:val="24"/>
          <w:highlight w:val="none"/>
        </w:rPr>
        <w:t>二、分包方式、作业范围及内容</w:t>
      </w:r>
    </w:p>
    <w:p w14:paraId="67209797">
      <w:pPr>
        <w:wordWrap w:val="0"/>
        <w:adjustRightInd w:val="0"/>
        <w:snapToGrid w:val="0"/>
        <w:spacing w:line="500" w:lineRule="exact"/>
        <w:ind w:firstLine="470" w:firstLineChars="196"/>
        <w:rPr>
          <w:rFonts w:hint="eastAsia" w:ascii="宋体" w:hAnsi="宋体" w:cs="宋体"/>
          <w:bCs/>
          <w:sz w:val="24"/>
          <w:szCs w:val="24"/>
          <w:highlight w:val="none"/>
        </w:rPr>
      </w:pPr>
      <w:r>
        <w:rPr>
          <w:rFonts w:hint="eastAsia" w:ascii="宋体" w:hAnsi="宋体" w:cs="宋体"/>
          <w:bCs/>
          <w:sz w:val="24"/>
          <w:szCs w:val="24"/>
          <w:highlight w:val="none"/>
        </w:rPr>
        <w:t>（一）分包方式：</w:t>
      </w:r>
      <w:r>
        <w:rPr>
          <w:rFonts w:hint="eastAsia" w:ascii="宋体" w:hAnsi="宋体" w:cs="宋体"/>
          <w:bCs/>
          <w:sz w:val="24"/>
          <w:szCs w:val="24"/>
          <w:highlight w:val="none"/>
          <w:u w:val="single"/>
        </w:rPr>
        <w:t xml:space="preserve">     专业分包      </w:t>
      </w:r>
      <w:r>
        <w:rPr>
          <w:rFonts w:hint="eastAsia" w:ascii="宋体" w:hAnsi="宋体" w:cs="宋体"/>
          <w:bCs/>
          <w:sz w:val="24"/>
          <w:szCs w:val="24"/>
          <w:highlight w:val="none"/>
        </w:rPr>
        <w:t>。</w:t>
      </w:r>
    </w:p>
    <w:p w14:paraId="686458D7">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（二）分包工程承包范围：</w:t>
      </w:r>
      <w:r>
        <w:rPr>
          <w:rFonts w:hint="eastAsia" w:ascii="宋体" w:hAnsi="宋体" w:cs="宋体"/>
          <w:kern w:val="1"/>
          <w:sz w:val="24"/>
          <w:szCs w:val="24"/>
          <w:highlight w:val="none"/>
          <w:u w:val="single"/>
        </w:rPr>
        <w:t xml:space="preserve"> </w:t>
      </w:r>
      <w:r>
        <w:rPr>
          <w:rFonts w:ascii="宋体" w:hAnsi="宋体" w:cs="宋体"/>
          <w:sz w:val="24"/>
          <w:szCs w:val="24"/>
          <w:highlight w:val="none"/>
          <w:u w:val="single"/>
        </w:rPr>
        <w:t>施工图纸范围内TK1-TK97：包括表土剥离、表土回覆、土方调运、底土平整、土地翻耕等。（具体内容结合实际，详见清单）</w:t>
      </w:r>
      <w:r>
        <w:rPr>
          <w:rFonts w:hint="eastAsia" w:ascii="宋体" w:hAnsi="宋体"/>
          <w:bCs/>
          <w:sz w:val="24"/>
          <w:highlight w:val="none"/>
          <w:u w:val="single"/>
        </w:rPr>
        <w:t>。</w:t>
      </w:r>
    </w:p>
    <w:p w14:paraId="6CB119E7">
      <w:pPr>
        <w:spacing w:line="500" w:lineRule="exact"/>
        <w:ind w:firstLine="482" w:firstLineChars="200"/>
        <w:rPr>
          <w:rFonts w:hint="eastAsia" w:ascii="宋体" w:hAnsi="宋体" w:cs="宋体"/>
          <w:bCs/>
          <w:sz w:val="24"/>
          <w:szCs w:val="24"/>
          <w:highlight w:val="none"/>
          <w:u w:val="single"/>
        </w:rPr>
      </w:pPr>
      <w:r>
        <w:rPr>
          <w:rFonts w:hint="eastAsia" w:ascii="宋体" w:hAnsi="宋体" w:cs="宋体"/>
          <w:b/>
          <w:sz w:val="24"/>
          <w:szCs w:val="24"/>
          <w:highlight w:val="none"/>
        </w:rPr>
        <w:t>三、</w:t>
      </w:r>
      <w:bookmarkEnd w:id="13"/>
      <w:bookmarkEnd w:id="14"/>
      <w:bookmarkEnd w:id="15"/>
      <w:bookmarkEnd w:id="16"/>
      <w:bookmarkEnd w:id="17"/>
      <w:r>
        <w:rPr>
          <w:rFonts w:hint="eastAsia" w:ascii="宋体" w:hAnsi="宋体" w:cs="宋体"/>
          <w:b/>
          <w:sz w:val="24"/>
          <w:szCs w:val="24"/>
          <w:highlight w:val="none"/>
        </w:rPr>
        <w:t xml:space="preserve"> </w:t>
      </w:r>
      <w:bookmarkStart w:id="18" w:name="_Toc351203482"/>
      <w:bookmarkStart w:id="19" w:name="_Toc371493142"/>
      <w:bookmarkStart w:id="20" w:name="_Toc389586297"/>
      <w:r>
        <w:rPr>
          <w:rFonts w:hint="eastAsia" w:ascii="宋体" w:hAnsi="宋体" w:cs="宋体"/>
          <w:b/>
          <w:sz w:val="24"/>
          <w:szCs w:val="24"/>
          <w:highlight w:val="none"/>
        </w:rPr>
        <w:t>分包合同工期</w:t>
      </w:r>
      <w:bookmarkEnd w:id="18"/>
      <w:bookmarkEnd w:id="19"/>
      <w:bookmarkEnd w:id="20"/>
    </w:p>
    <w:p w14:paraId="613B9F0A">
      <w:pPr>
        <w:wordWrap w:val="0"/>
        <w:adjustRightInd w:val="0"/>
        <w:snapToGrid w:val="0"/>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计划开工日期：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p>
    <w:p w14:paraId="475120AB">
      <w:pPr>
        <w:wordWrap w:val="0"/>
        <w:adjustRightInd w:val="0"/>
        <w:snapToGrid w:val="0"/>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计划完工日期：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p>
    <w:p w14:paraId="0E5F1864">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工期总日历天数：</w:t>
      </w:r>
      <w:r>
        <w:rPr>
          <w:rFonts w:hint="eastAsia" w:ascii="宋体" w:hAnsi="宋体" w:cs="宋体"/>
          <w:sz w:val="24"/>
          <w:szCs w:val="24"/>
          <w:highlight w:val="none"/>
          <w:u w:val="single"/>
        </w:rPr>
        <w:t>具备开工条件4个月内</w:t>
      </w:r>
      <w:r>
        <w:rPr>
          <w:rFonts w:hint="eastAsia" w:ascii="宋体" w:hAnsi="宋体" w:cs="宋体"/>
          <w:sz w:val="24"/>
          <w:szCs w:val="24"/>
          <w:highlight w:val="none"/>
        </w:rPr>
        <w:t>。实际开工日期与计划开工日期不一致的，以承包人签发的开工通知载明的日期为准。</w:t>
      </w:r>
    </w:p>
    <w:p w14:paraId="713766C1">
      <w:pP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四、分包作业质量、安全标准</w:t>
      </w:r>
    </w:p>
    <w:p w14:paraId="756DDD51">
      <w:pPr>
        <w:wordWrap w:val="0"/>
        <w:adjustRightInd w:val="0"/>
        <w:snapToGrid w:val="0"/>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（一）分包工程质量应符合总包合同约定的分包工程的质量标准，并同时达到</w:t>
      </w:r>
      <w:r>
        <w:rPr>
          <w:rFonts w:hint="eastAsia" w:ascii="宋体" w:hAnsi="宋体" w:cs="宋体"/>
          <w:sz w:val="24"/>
          <w:szCs w:val="24"/>
          <w:highlight w:val="none"/>
          <w:u w:val="single"/>
        </w:rPr>
        <w:t xml:space="preserve"> 国家现行规范合格 </w:t>
      </w:r>
      <w:r>
        <w:rPr>
          <w:rFonts w:hint="eastAsia" w:ascii="宋体" w:hAnsi="宋体" w:cs="宋体"/>
          <w:sz w:val="24"/>
          <w:szCs w:val="24"/>
          <w:highlight w:val="none"/>
        </w:rPr>
        <w:t>标准。</w:t>
      </w:r>
    </w:p>
    <w:p w14:paraId="12D05926">
      <w:pPr>
        <w:spacing w:line="500" w:lineRule="exact"/>
        <w:ind w:left="6239" w:leftChars="228" w:hanging="5760" w:hangingChars="2400"/>
        <w:jc w:val="left"/>
        <w:rPr>
          <w:rFonts w:hint="eastAsia" w:ascii="宋体" w:hAnsi="宋体" w:cs="宋体"/>
          <w:sz w:val="24"/>
          <w:szCs w:val="24"/>
          <w:highlight w:val="none"/>
          <w:u w:val="single"/>
        </w:rPr>
      </w:pPr>
      <w:r>
        <w:rPr>
          <w:rFonts w:hint="eastAsia" w:ascii="宋体" w:hAnsi="宋体" w:cs="宋体"/>
          <w:sz w:val="24"/>
          <w:szCs w:val="24"/>
          <w:highlight w:val="none"/>
        </w:rPr>
        <w:t>（二）工程安全文明施工标准：本分包工程安全文明施工标准双方约定为</w:t>
      </w:r>
      <w:bookmarkStart w:id="21" w:name="_Toc384137526"/>
      <w:bookmarkStart w:id="22" w:name="_Toc389663457"/>
      <w:bookmarkStart w:id="23" w:name="_Toc389602800"/>
      <w:bookmarkStart w:id="24" w:name="_Toc383940881"/>
      <w:bookmarkStart w:id="25" w:name="_Toc384026355"/>
      <w:r>
        <w:rPr>
          <w:rFonts w:hint="eastAsia" w:ascii="宋体" w:hAnsi="宋体" w:cs="宋体"/>
          <w:sz w:val="24"/>
          <w:szCs w:val="24"/>
          <w:highlight w:val="none"/>
          <w:u w:val="single"/>
        </w:rPr>
        <w:t>：</w:t>
      </w:r>
    </w:p>
    <w:p w14:paraId="5DF8CFDC">
      <w:pPr>
        <w:spacing w:line="500" w:lineRule="exact"/>
        <w:ind w:left="6239" w:leftChars="228" w:hanging="5760" w:hangingChars="2400"/>
        <w:jc w:val="left"/>
        <w:rPr>
          <w:rFonts w:hint="eastAsia" w:ascii="宋体" w:hAnsi="宋体" w:cs="宋体"/>
          <w:sz w:val="24"/>
          <w:szCs w:val="24"/>
          <w:highlight w:val="none"/>
          <w:u w:val="single"/>
        </w:rPr>
      </w:pPr>
      <w:r>
        <w:rPr>
          <w:rFonts w:hint="eastAsia" w:ascii="宋体" w:hAnsi="宋体" w:cs="宋体"/>
          <w:sz w:val="24"/>
          <w:szCs w:val="24"/>
          <w:highlight w:val="none"/>
          <w:u w:val="single"/>
        </w:rPr>
        <w:t xml:space="preserve">符合承包人有关标准并达到合格目标                </w:t>
      </w:r>
    </w:p>
    <w:p w14:paraId="2D4B0895">
      <w:pP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五、专业分包合同价</w:t>
      </w:r>
      <w:bookmarkEnd w:id="21"/>
      <w:bookmarkEnd w:id="22"/>
      <w:bookmarkEnd w:id="23"/>
      <w:bookmarkEnd w:id="24"/>
      <w:bookmarkEnd w:id="25"/>
      <w:r>
        <w:rPr>
          <w:rFonts w:hint="eastAsia" w:ascii="宋体" w:hAnsi="宋体" w:cs="宋体"/>
          <w:b/>
          <w:bCs/>
          <w:sz w:val="24"/>
          <w:szCs w:val="24"/>
          <w:highlight w:val="none"/>
        </w:rPr>
        <w:t>款</w:t>
      </w:r>
    </w:p>
    <w:p w14:paraId="329517EB">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合同价款按下述第</w:t>
      </w:r>
      <w:r>
        <w:rPr>
          <w:rFonts w:hint="eastAsia" w:ascii="宋体" w:hAnsi="宋体" w:cs="宋体"/>
          <w:sz w:val="24"/>
          <w:szCs w:val="24"/>
          <w:highlight w:val="none"/>
          <w:u w:val="single"/>
        </w:rPr>
        <w:t xml:space="preserve">     1    </w:t>
      </w:r>
      <w:r>
        <w:rPr>
          <w:rFonts w:hint="eastAsia" w:ascii="宋体" w:hAnsi="宋体" w:cs="宋体"/>
          <w:sz w:val="24"/>
          <w:szCs w:val="24"/>
          <w:highlight w:val="none"/>
        </w:rPr>
        <w:t>种方式计算：</w:t>
      </w:r>
    </w:p>
    <w:p w14:paraId="1CC35968">
      <w:pPr>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1、单价方式</w:t>
      </w:r>
    </w:p>
    <w:p w14:paraId="0D49A5C1">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 xml:space="preserve"> 签约合同单价（不含税）为：人民币（大写）</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元/m³(￥  </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元/m³)，税率： </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5D688EB7">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 xml:space="preserve">单价包括但不限于项目成本、管理费、利润和其它费用，且分包人承担其工作范围内工程量及材料价格波动的风险（其中承包人原因设计变更如不造成分包人返工，该类变更及签证涉及的费用应视为包含在本合同的固定单价中） 等一切费用。  </w:t>
      </w:r>
    </w:p>
    <w:p w14:paraId="0F37E5C4">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签约合同总价（不含税）为：人民币（大写）</w:t>
      </w:r>
      <w:r>
        <w:rPr>
          <w:rFonts w:hint="eastAsia" w:ascii="宋体" w:hAnsi="宋体" w:cs="宋体"/>
          <w:bCs/>
          <w:sz w:val="24"/>
          <w:szCs w:val="24"/>
          <w:highlight w:val="none"/>
        </w:rPr>
        <w:t>：</w:t>
      </w:r>
      <w:r>
        <w:rPr>
          <w:rFonts w:hint="eastAsia" w:ascii="宋体" w:hAnsi="宋体" w:cs="宋体"/>
          <w:bCs/>
          <w:sz w:val="24"/>
          <w:szCs w:val="24"/>
          <w:highlight w:val="none"/>
          <w:u w:val="single"/>
        </w:rPr>
        <w:t xml:space="preserve">                 </w:t>
      </w:r>
      <w:r>
        <w:rPr>
          <w:rFonts w:hint="eastAsia" w:ascii="宋体" w:hAnsi="宋体" w:cs="宋体"/>
          <w:bCs/>
          <w:sz w:val="24"/>
          <w:szCs w:val="24"/>
          <w:highlight w:val="none"/>
        </w:rPr>
        <w:t>（</w:t>
      </w:r>
      <w:r>
        <w:rPr>
          <w:rFonts w:hint="eastAsia" w:ascii="宋体" w:hAnsi="宋体" w:cs="宋体"/>
          <w:sz w:val="24"/>
          <w:szCs w:val="24"/>
          <w:highlight w:val="none"/>
        </w:rPr>
        <w:t>￥</w:t>
      </w:r>
      <w:r>
        <w:rPr>
          <w:rFonts w:hint="eastAsia" w:ascii="宋体" w:hAnsi="宋体" w:cs="宋体"/>
          <w:sz w:val="24"/>
          <w:szCs w:val="24"/>
          <w:highlight w:val="none"/>
          <w:u w:val="single"/>
        </w:rPr>
        <w:t xml:space="preserve">       </w:t>
      </w:r>
      <w:r>
        <w:rPr>
          <w:rFonts w:hint="eastAsia" w:ascii="宋体" w:hAnsi="宋体" w:cs="宋体"/>
          <w:sz w:val="24"/>
          <w:szCs w:val="24"/>
          <w:highlight w:val="none"/>
        </w:rPr>
        <w:t>元</w:t>
      </w:r>
      <w:r>
        <w:rPr>
          <w:rFonts w:hint="eastAsia" w:ascii="宋体" w:hAnsi="宋体" w:cs="宋体"/>
          <w:bCs/>
          <w:sz w:val="24"/>
          <w:szCs w:val="24"/>
          <w:highlight w:val="none"/>
        </w:rPr>
        <w:t>）</w:t>
      </w:r>
      <w:r>
        <w:rPr>
          <w:rFonts w:hint="eastAsia" w:ascii="宋体" w:hAnsi="宋体" w:cs="宋体"/>
          <w:sz w:val="24"/>
          <w:szCs w:val="24"/>
          <w:highlight w:val="none"/>
        </w:rPr>
        <w:t xml:space="preserve">，税率： </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%，计算方式：</w:t>
      </w:r>
      <w:r>
        <w:rPr>
          <w:rFonts w:hint="eastAsia" w:ascii="宋体" w:hAnsi="宋体" w:cs="宋体"/>
          <w:sz w:val="24"/>
          <w:szCs w:val="24"/>
          <w:highlight w:val="none"/>
          <w:u w:val="single"/>
        </w:rPr>
        <w:t xml:space="preserve"> 暂定工程量</w:t>
      </w:r>
      <w:r>
        <w:rPr>
          <w:rFonts w:ascii="Arial" w:hAnsi="Arial" w:cs="Arial"/>
          <w:sz w:val="24"/>
          <w:szCs w:val="24"/>
          <w:highlight w:val="none"/>
          <w:u w:val="single"/>
        </w:rPr>
        <w:t>×</w:t>
      </w:r>
      <w:r>
        <w:rPr>
          <w:rFonts w:hint="eastAsia" w:ascii="宋体" w:hAnsi="宋体" w:cs="宋体"/>
          <w:sz w:val="24"/>
          <w:szCs w:val="24"/>
          <w:highlight w:val="none"/>
          <w:u w:val="single"/>
        </w:rPr>
        <w:t xml:space="preserve">单价  </w:t>
      </w:r>
      <w:r>
        <w:rPr>
          <w:rFonts w:hint="eastAsia" w:ascii="宋体" w:hAnsi="宋体" w:cs="宋体"/>
          <w:sz w:val="24"/>
          <w:szCs w:val="24"/>
          <w:highlight w:val="none"/>
        </w:rPr>
        <w:t xml:space="preserve">。     </w:t>
      </w:r>
    </w:p>
    <w:p w14:paraId="6E76372A">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（结算金额以经承包人审定的工程量为基数进行调整，据实结算）</w:t>
      </w:r>
    </w:p>
    <w:p w14:paraId="482F317B">
      <w:pP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六、保证金</w:t>
      </w:r>
    </w:p>
    <w:p w14:paraId="558A12D3">
      <w:pPr>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（一）履约保证金</w:t>
      </w:r>
    </w:p>
    <w:p w14:paraId="2D010C02">
      <w:pPr>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履约保证金为：人民币（大写）</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r>
        <w:rPr>
          <w:rFonts w:hint="eastAsia" w:ascii="宋体" w:hAnsi="宋体" w:cs="宋体"/>
          <w:sz w:val="24"/>
          <w:szCs w:val="24"/>
          <w:highlight w:val="none"/>
          <w:u w:val="single"/>
        </w:rPr>
        <w:t xml:space="preserve">      </w:t>
      </w:r>
      <w:r>
        <w:rPr>
          <w:rFonts w:hint="eastAsia" w:ascii="宋体" w:hAnsi="宋体" w:cs="宋体"/>
          <w:sz w:val="24"/>
          <w:szCs w:val="24"/>
          <w:highlight w:val="none"/>
        </w:rPr>
        <w:t>元)，</w:t>
      </w:r>
    </w:p>
    <w:p w14:paraId="1C367D06">
      <w:pPr>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支付方式和时间为</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71670FEA">
      <w:pPr>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（二）农民工工资保证金</w:t>
      </w:r>
    </w:p>
    <w:p w14:paraId="19DA81D1">
      <w:pPr>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农民工工资保证金为：人民币（大写）</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r>
        <w:rPr>
          <w:rFonts w:hint="eastAsia" w:ascii="宋体" w:hAnsi="宋体" w:cs="宋体"/>
          <w:sz w:val="24"/>
          <w:szCs w:val="24"/>
          <w:highlight w:val="none"/>
          <w:u w:val="single"/>
        </w:rPr>
        <w:t xml:space="preserve">    </w:t>
      </w:r>
      <w:r>
        <w:rPr>
          <w:rFonts w:hint="eastAsia" w:ascii="宋体" w:hAnsi="宋体" w:cs="宋体"/>
          <w:sz w:val="24"/>
          <w:szCs w:val="24"/>
          <w:highlight w:val="none"/>
        </w:rPr>
        <w:t>元)，</w:t>
      </w:r>
    </w:p>
    <w:p w14:paraId="6EB2E180">
      <w:pPr>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支付方式和时间为</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5F81DCA4">
      <w:pP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七、分包人资质</w:t>
      </w:r>
    </w:p>
    <w:p w14:paraId="13FA6436">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资质证书编号：</w:t>
      </w:r>
      <w:r>
        <w:rPr>
          <w:rFonts w:hint="eastAsia" w:ascii="宋体" w:hAnsi="宋体" w:cs="宋体"/>
          <w:sz w:val="24"/>
          <w:szCs w:val="24"/>
          <w:highlight w:val="none"/>
          <w:u w:val="single"/>
        </w:rPr>
        <w:tab/>
      </w:r>
      <w:r>
        <w:rPr>
          <w:rFonts w:hint="eastAsia" w:ascii="宋体" w:hAnsi="宋体" w:cs="宋体"/>
          <w:sz w:val="24"/>
          <w:szCs w:val="24"/>
          <w:highlight w:val="none"/>
          <w:u w:val="single"/>
        </w:rPr>
        <w:tab/>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rPr>
        <w:tab/>
      </w:r>
      <w:r>
        <w:rPr>
          <w:rFonts w:hint="eastAsia" w:ascii="宋体" w:hAnsi="宋体" w:cs="宋体"/>
          <w:sz w:val="24"/>
          <w:szCs w:val="24"/>
          <w:highlight w:val="none"/>
          <w:u w:val="single"/>
        </w:rPr>
        <w:tab/>
      </w:r>
      <w:r>
        <w:rPr>
          <w:rFonts w:hint="eastAsia" w:ascii="宋体" w:hAnsi="宋体" w:cs="宋体"/>
          <w:sz w:val="24"/>
          <w:szCs w:val="24"/>
          <w:highlight w:val="none"/>
          <w:u w:val="single"/>
        </w:rPr>
        <w:t xml:space="preserve">                          </w:t>
      </w:r>
    </w:p>
    <w:p w14:paraId="07E31CEC">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资质专业及等级：</w:t>
      </w:r>
      <w:r>
        <w:rPr>
          <w:rFonts w:hint="eastAsia" w:ascii="宋体" w:hAnsi="宋体" w:cs="宋体"/>
          <w:sz w:val="24"/>
          <w:szCs w:val="24"/>
          <w:highlight w:val="none"/>
          <w:u w:val="single"/>
        </w:rPr>
        <w:tab/>
      </w:r>
      <w:r>
        <w:rPr>
          <w:rFonts w:hint="eastAsia" w:ascii="宋体" w:hAnsi="宋体" w:cs="宋体"/>
          <w:sz w:val="24"/>
          <w:szCs w:val="24"/>
          <w:highlight w:val="none"/>
          <w:u w:val="single"/>
        </w:rPr>
        <w:tab/>
      </w:r>
      <w:r>
        <w:rPr>
          <w:rFonts w:hint="eastAsia" w:ascii="宋体" w:hAnsi="宋体" w:cs="宋体"/>
          <w:sz w:val="24"/>
          <w:szCs w:val="24"/>
          <w:highlight w:val="none"/>
          <w:u w:val="single"/>
        </w:rPr>
        <w:tab/>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rPr>
        <w:tab/>
      </w:r>
      <w:r>
        <w:rPr>
          <w:rFonts w:hint="eastAsia" w:ascii="宋体" w:hAnsi="宋体" w:cs="宋体"/>
          <w:sz w:val="24"/>
          <w:szCs w:val="24"/>
          <w:highlight w:val="none"/>
          <w:u w:val="single"/>
        </w:rPr>
        <w:t xml:space="preserve">                      </w:t>
      </w:r>
    </w:p>
    <w:p w14:paraId="2ED95124">
      <w:pP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八、</w:t>
      </w:r>
      <w:bookmarkStart w:id="26" w:name="_Toc389663459"/>
      <w:bookmarkStart w:id="27" w:name="_Toc383940883"/>
      <w:bookmarkStart w:id="28" w:name="_Toc384137528"/>
      <w:bookmarkStart w:id="29" w:name="_Toc389602802"/>
      <w:bookmarkStart w:id="30" w:name="_Toc384026357"/>
      <w:r>
        <w:rPr>
          <w:rFonts w:hint="eastAsia" w:ascii="宋体" w:hAnsi="宋体" w:cs="宋体"/>
          <w:b/>
          <w:bCs/>
          <w:sz w:val="24"/>
          <w:szCs w:val="24"/>
          <w:highlight w:val="none"/>
        </w:rPr>
        <w:t>合同文件构成</w:t>
      </w:r>
      <w:bookmarkEnd w:id="26"/>
      <w:bookmarkEnd w:id="27"/>
      <w:bookmarkEnd w:id="28"/>
      <w:bookmarkEnd w:id="29"/>
      <w:bookmarkEnd w:id="30"/>
    </w:p>
    <w:p w14:paraId="620AAFE3">
      <w:pPr>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本协议书与下列文件一起构成合同文件：</w:t>
      </w:r>
    </w:p>
    <w:p w14:paraId="4F0A8130">
      <w:pPr>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（一）补充协议；</w:t>
      </w:r>
    </w:p>
    <w:p w14:paraId="610AF397">
      <w:pPr>
        <w:numPr>
          <w:ilvl w:val="0"/>
          <w:numId w:val="3"/>
        </w:numPr>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合同协议书；</w:t>
      </w:r>
    </w:p>
    <w:p w14:paraId="7C2FC9EF">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（三）中标通知书（如果有）；</w:t>
      </w:r>
    </w:p>
    <w:p w14:paraId="5062CD1C">
      <w:pPr>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（四）投标函及其附录（如果有）；</w:t>
      </w:r>
    </w:p>
    <w:p w14:paraId="79638B9A">
      <w:pPr>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（五）专用合同条款及其附件；</w:t>
      </w:r>
    </w:p>
    <w:p w14:paraId="7AEF8A61">
      <w:pPr>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（六）通用合同条款；</w:t>
      </w:r>
    </w:p>
    <w:p w14:paraId="529C99C2">
      <w:pPr>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（七）技术标准和要求；</w:t>
      </w:r>
    </w:p>
    <w:p w14:paraId="5CC37E51">
      <w:pPr>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（八）图纸；</w:t>
      </w:r>
    </w:p>
    <w:p w14:paraId="52D1D745">
      <w:pPr>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 xml:space="preserve">（九）已标价工作量清单； </w:t>
      </w:r>
    </w:p>
    <w:p w14:paraId="573C56D8">
      <w:pPr>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（十）免责声明；</w:t>
      </w:r>
    </w:p>
    <w:p w14:paraId="40DC8212">
      <w:pPr>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（十一）其他分包合同文件</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6676D211">
      <w:pPr>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在合同订立及履行过程中形成的与合同有关的文件均构成合同文件的组成部分。</w:t>
      </w:r>
    </w:p>
    <w:p w14:paraId="7765B4BB">
      <w:pPr>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上述各项合同文件中包括合同当事人就该项合同文件所做出的补充和修改，属于同一类型内容的文件应以最新签署的为准。</w:t>
      </w:r>
    </w:p>
    <w:p w14:paraId="13D372FB">
      <w:pPr>
        <w:spacing w:line="500" w:lineRule="exact"/>
        <w:ind w:firstLine="482" w:firstLineChars="200"/>
        <w:rPr>
          <w:rFonts w:hint="eastAsia" w:ascii="宋体" w:hAnsi="宋体" w:cs="宋体"/>
          <w:b/>
          <w:bCs/>
          <w:sz w:val="24"/>
          <w:szCs w:val="24"/>
          <w:highlight w:val="none"/>
        </w:rPr>
      </w:pPr>
      <w:bookmarkStart w:id="31" w:name="_Toc383940884"/>
      <w:bookmarkStart w:id="32" w:name="_Toc384137529"/>
      <w:bookmarkStart w:id="33" w:name="_Toc384026358"/>
      <w:bookmarkStart w:id="34" w:name="_Toc389602803"/>
      <w:bookmarkStart w:id="35" w:name="_Toc389663460"/>
      <w:r>
        <w:rPr>
          <w:rFonts w:hint="eastAsia" w:ascii="宋体" w:hAnsi="宋体" w:cs="宋体"/>
          <w:b/>
          <w:bCs/>
          <w:sz w:val="24"/>
          <w:szCs w:val="24"/>
          <w:highlight w:val="none"/>
        </w:rPr>
        <w:t>九、承诺</w:t>
      </w:r>
      <w:bookmarkEnd w:id="31"/>
      <w:bookmarkEnd w:id="32"/>
      <w:bookmarkEnd w:id="33"/>
      <w:bookmarkEnd w:id="34"/>
      <w:bookmarkEnd w:id="35"/>
    </w:p>
    <w:p w14:paraId="31EEC334">
      <w:pPr>
        <w:wordWrap w:val="0"/>
        <w:adjustRightInd w:val="0"/>
        <w:snapToGrid w:val="0"/>
        <w:spacing w:line="500" w:lineRule="exact"/>
        <w:ind w:firstLine="480" w:firstLineChars="200"/>
        <w:rPr>
          <w:rFonts w:hint="eastAsia" w:ascii="宋体" w:hAnsi="宋体" w:cs="宋体"/>
          <w:bCs/>
          <w:sz w:val="24"/>
          <w:szCs w:val="24"/>
          <w:highlight w:val="none"/>
        </w:rPr>
      </w:pPr>
      <w:r>
        <w:rPr>
          <w:rFonts w:hint="eastAsia" w:ascii="宋体" w:hAnsi="宋体" w:cs="宋体"/>
          <w:sz w:val="24"/>
          <w:szCs w:val="24"/>
          <w:highlight w:val="none"/>
        </w:rPr>
        <w:t>（一）</w:t>
      </w:r>
      <w:r>
        <w:rPr>
          <w:rFonts w:hint="eastAsia" w:ascii="宋体" w:hAnsi="宋体" w:cs="宋体"/>
          <w:bCs/>
          <w:sz w:val="24"/>
          <w:szCs w:val="24"/>
          <w:highlight w:val="none"/>
        </w:rPr>
        <w:t>承包人承诺发包人同意承包人将分包工程分包给分包人，并承诺按照分包合同约定的期限和方式支付合同价款，</w:t>
      </w:r>
      <w:r>
        <w:rPr>
          <w:rFonts w:hint="eastAsia" w:ascii="宋体" w:hAnsi="宋体" w:cs="宋体"/>
          <w:sz w:val="24"/>
          <w:szCs w:val="24"/>
          <w:highlight w:val="none"/>
        </w:rPr>
        <w:t>在支付价款前分包人应提供增值税专用发票。</w:t>
      </w:r>
    </w:p>
    <w:p w14:paraId="2FC36853">
      <w:pPr>
        <w:wordWrap w:val="0"/>
        <w:adjustRightInd w:val="0"/>
        <w:snapToGrid w:val="0"/>
        <w:spacing w:line="500" w:lineRule="exact"/>
        <w:ind w:firstLine="480" w:firstLineChars="200"/>
        <w:rPr>
          <w:rFonts w:hint="eastAsia" w:ascii="宋体" w:hAnsi="宋体" w:cs="宋体"/>
          <w:bCs/>
          <w:sz w:val="24"/>
          <w:szCs w:val="24"/>
          <w:highlight w:val="none"/>
        </w:rPr>
      </w:pPr>
      <w:r>
        <w:rPr>
          <w:rFonts w:hint="eastAsia" w:ascii="宋体" w:hAnsi="宋体" w:cs="宋体"/>
          <w:bCs/>
          <w:sz w:val="24"/>
          <w:szCs w:val="24"/>
          <w:highlight w:val="none"/>
        </w:rPr>
        <w:t>（二）分包人承诺以提供符合法律、法规及政策规定的业务流、资金流及发票流“三流合一”要求的增值税专用发票作为收取合同价款的前提条件。</w:t>
      </w:r>
    </w:p>
    <w:p w14:paraId="76860819">
      <w:pPr>
        <w:wordWrap w:val="0"/>
        <w:adjustRightInd w:val="0"/>
        <w:snapToGrid w:val="0"/>
        <w:spacing w:line="500" w:lineRule="exact"/>
        <w:ind w:firstLine="480" w:firstLineChars="200"/>
        <w:rPr>
          <w:rFonts w:hint="eastAsia" w:ascii="宋体" w:hAnsi="宋体" w:cs="宋体"/>
          <w:bCs/>
          <w:sz w:val="24"/>
          <w:szCs w:val="24"/>
          <w:highlight w:val="none"/>
        </w:rPr>
      </w:pPr>
      <w:r>
        <w:rPr>
          <w:rFonts w:hint="eastAsia" w:ascii="宋体" w:hAnsi="宋体" w:cs="宋体"/>
          <w:bCs/>
          <w:sz w:val="24"/>
          <w:szCs w:val="24"/>
          <w:highlight w:val="none"/>
        </w:rPr>
        <w:t>（三）分包人承诺按照法律规定及分包合同约定完成分包工程施工，并在缺陷责任期及保修期内履行分包工程维修义务。</w:t>
      </w:r>
    </w:p>
    <w:p w14:paraId="0EF1A005">
      <w:pPr>
        <w:wordWrap w:val="0"/>
        <w:adjustRightInd w:val="0"/>
        <w:snapToGrid w:val="0"/>
        <w:spacing w:line="500" w:lineRule="exact"/>
        <w:ind w:firstLine="480"/>
        <w:rPr>
          <w:rFonts w:hint="eastAsia" w:ascii="宋体" w:hAnsi="宋体" w:cs="宋体"/>
          <w:bCs/>
          <w:sz w:val="24"/>
          <w:szCs w:val="24"/>
          <w:highlight w:val="none"/>
        </w:rPr>
      </w:pPr>
      <w:r>
        <w:rPr>
          <w:rFonts w:hint="eastAsia" w:ascii="宋体" w:hAnsi="宋体" w:cs="宋体"/>
          <w:bCs/>
          <w:sz w:val="24"/>
          <w:szCs w:val="24"/>
          <w:highlight w:val="none"/>
        </w:rPr>
        <w:t>（四）分包人承诺履行总包合同中与分包工程有关的承包人的所有义务，但分包合同明确约定应由承包人履行的义务除外。分包人承诺就分包工程质量和安全与承包人向发包人承担连带责任。</w:t>
      </w:r>
    </w:p>
    <w:p w14:paraId="669499E2">
      <w:pPr>
        <w:wordWrap w:val="0"/>
        <w:adjustRightInd w:val="0"/>
        <w:snapToGrid w:val="0"/>
        <w:spacing w:line="500" w:lineRule="exact"/>
        <w:ind w:firstLine="480" w:firstLineChars="200"/>
        <w:rPr>
          <w:rFonts w:hint="eastAsia" w:ascii="宋体" w:hAnsi="宋体" w:cs="宋体"/>
          <w:bCs/>
          <w:sz w:val="24"/>
          <w:szCs w:val="24"/>
          <w:highlight w:val="none"/>
        </w:rPr>
      </w:pPr>
      <w:r>
        <w:rPr>
          <w:rFonts w:hint="eastAsia" w:ascii="宋体" w:hAnsi="宋体" w:cs="宋体"/>
          <w:sz w:val="24"/>
          <w:szCs w:val="24"/>
          <w:highlight w:val="none"/>
        </w:rPr>
        <w:t>（五）</w:t>
      </w:r>
      <w:r>
        <w:rPr>
          <w:rFonts w:hint="eastAsia" w:ascii="宋体" w:hAnsi="宋体" w:cs="宋体"/>
          <w:bCs/>
          <w:sz w:val="24"/>
          <w:szCs w:val="24"/>
          <w:highlight w:val="none"/>
        </w:rPr>
        <w:t>分包人承诺，按照法律规定及合同约定组织完成专业分包工作，确保专业工程质量和安全，</w:t>
      </w:r>
      <w:r>
        <w:rPr>
          <w:rFonts w:hint="eastAsia" w:ascii="宋体" w:hAnsi="宋体" w:cs="宋体"/>
          <w:sz w:val="24"/>
          <w:szCs w:val="24"/>
          <w:highlight w:val="none"/>
        </w:rPr>
        <w:t>不得将依据合同所享有的权利、依据合同所产生的债权转让给第三人，</w:t>
      </w:r>
      <w:r>
        <w:rPr>
          <w:rFonts w:hint="eastAsia" w:ascii="宋体" w:hAnsi="宋体" w:cs="宋体"/>
          <w:bCs/>
          <w:sz w:val="24"/>
          <w:szCs w:val="24"/>
          <w:highlight w:val="none"/>
        </w:rPr>
        <w:t>不进行转包、再分包。</w:t>
      </w:r>
    </w:p>
    <w:p w14:paraId="6DE06A89">
      <w:pPr>
        <w:spacing w:line="500" w:lineRule="exact"/>
        <w:ind w:firstLine="480" w:firstLineChars="200"/>
        <w:rPr>
          <w:rFonts w:hint="eastAsia" w:ascii="宋体" w:hAnsi="宋体" w:cs="宋体"/>
          <w:sz w:val="24"/>
          <w:szCs w:val="24"/>
          <w:highlight w:val="none"/>
        </w:rPr>
      </w:pPr>
      <w:bookmarkStart w:id="36" w:name="_Toc383940885"/>
      <w:bookmarkStart w:id="37" w:name="_Toc389602804"/>
      <w:bookmarkStart w:id="38" w:name="_Toc384137530"/>
      <w:bookmarkStart w:id="39" w:name="_Toc389663461"/>
      <w:bookmarkStart w:id="40" w:name="_Toc384026359"/>
      <w:r>
        <w:rPr>
          <w:rFonts w:hint="eastAsia" w:ascii="宋体" w:hAnsi="宋体" w:cs="宋体"/>
          <w:sz w:val="24"/>
          <w:szCs w:val="24"/>
          <w:highlight w:val="none"/>
        </w:rPr>
        <w:t>（六）</w:t>
      </w:r>
      <w:r>
        <w:rPr>
          <w:rFonts w:hint="eastAsia" w:ascii="宋体" w:hAnsi="宋体" w:cs="宋体"/>
          <w:bCs/>
          <w:sz w:val="24"/>
          <w:szCs w:val="24"/>
          <w:highlight w:val="none"/>
        </w:rPr>
        <w:t>合同当事人通过招投标形式签订分包合同的，双方理解并承诺不再另行签订与分包合同实质性内容相背离的合同。</w:t>
      </w:r>
    </w:p>
    <w:p w14:paraId="5563F823">
      <w:pPr>
        <w:spacing w:line="500" w:lineRule="exact"/>
        <w:ind w:firstLine="482" w:firstLineChars="200"/>
        <w:rPr>
          <w:rFonts w:hint="eastAsia" w:ascii="宋体" w:hAnsi="宋体" w:cs="宋体"/>
          <w:b/>
          <w:bCs/>
          <w:sz w:val="24"/>
          <w:szCs w:val="24"/>
          <w:highlight w:val="none"/>
        </w:rPr>
      </w:pPr>
      <w:bookmarkStart w:id="41" w:name="_Toc389602889"/>
      <w:bookmarkStart w:id="42" w:name="_Toc384026467"/>
      <w:bookmarkStart w:id="43" w:name="_Toc384137615"/>
      <w:bookmarkStart w:id="44" w:name="_Toc389663546"/>
      <w:bookmarkStart w:id="45" w:name="_Toc383940993"/>
      <w:r>
        <w:rPr>
          <w:rFonts w:hint="eastAsia" w:ascii="宋体" w:hAnsi="宋体" w:cs="宋体"/>
          <w:b/>
          <w:bCs/>
          <w:sz w:val="24"/>
          <w:szCs w:val="24"/>
          <w:highlight w:val="none"/>
        </w:rPr>
        <w:t>十、争议解决</w:t>
      </w:r>
      <w:bookmarkEnd w:id="41"/>
      <w:bookmarkEnd w:id="42"/>
      <w:bookmarkEnd w:id="43"/>
      <w:bookmarkEnd w:id="44"/>
      <w:bookmarkEnd w:id="45"/>
    </w:p>
    <w:p w14:paraId="773345FB">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因履行本合同发生争议的，双方可以协商解决。协商不成的，双方均有权向屯留区人民法院提起诉讼。</w:t>
      </w:r>
    </w:p>
    <w:p w14:paraId="0510A446">
      <w:pP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十一、附则</w:t>
      </w:r>
      <w:bookmarkEnd w:id="36"/>
      <w:bookmarkEnd w:id="37"/>
      <w:bookmarkEnd w:id="38"/>
      <w:bookmarkEnd w:id="39"/>
      <w:bookmarkEnd w:id="40"/>
      <w:r>
        <w:rPr>
          <w:rFonts w:hint="eastAsia" w:ascii="宋体" w:hAnsi="宋体" w:cs="宋体"/>
          <w:b/>
          <w:bCs/>
          <w:sz w:val="24"/>
          <w:szCs w:val="24"/>
          <w:highlight w:val="none"/>
        </w:rPr>
        <w:t xml:space="preserve">   </w:t>
      </w:r>
    </w:p>
    <w:p w14:paraId="6A7ACF18">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（一）合同订立时间：</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p>
    <w:p w14:paraId="0467B85E">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（二）合同订立地点：</w:t>
      </w:r>
      <w:r>
        <w:rPr>
          <w:rFonts w:hint="eastAsia" w:ascii="宋体" w:hAnsi="宋体" w:cs="宋体"/>
          <w:sz w:val="24"/>
          <w:szCs w:val="24"/>
          <w:highlight w:val="none"/>
          <w:u w:val="single"/>
        </w:rPr>
        <w:t xml:space="preserve">   山西潞安工程有限公司    </w:t>
      </w:r>
    </w:p>
    <w:p w14:paraId="1A18B02A">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（三）本合同自</w:t>
      </w:r>
      <w:r>
        <w:rPr>
          <w:rFonts w:hint="eastAsia" w:ascii="宋体" w:hAnsi="宋体" w:cs="宋体"/>
          <w:sz w:val="24"/>
          <w:szCs w:val="24"/>
          <w:highlight w:val="none"/>
          <w:u w:val="single"/>
        </w:rPr>
        <w:t>双方盖章之日起生效，待工程施工验收合格、质保期满、工程价款结清后失效。</w:t>
      </w:r>
    </w:p>
    <w:p w14:paraId="402AEFB5">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（四）</w:t>
      </w:r>
      <w:r>
        <w:rPr>
          <w:rFonts w:hint="eastAsia" w:ascii="宋体" w:hAnsi="宋体" w:cs="宋体"/>
          <w:bCs/>
          <w:sz w:val="24"/>
          <w:szCs w:val="24"/>
          <w:highlight w:val="none"/>
        </w:rPr>
        <w:t>协议书中词语含义与第二部分通用合同条款中赋予的含义相同。</w:t>
      </w:r>
    </w:p>
    <w:p w14:paraId="4A3AD24A">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（五）本合同一式</w:t>
      </w:r>
      <w:r>
        <w:rPr>
          <w:rFonts w:hint="eastAsia" w:ascii="宋体" w:hAnsi="宋体" w:cs="宋体"/>
          <w:sz w:val="24"/>
          <w:szCs w:val="24"/>
          <w:highlight w:val="none"/>
          <w:u w:val="single"/>
        </w:rPr>
        <w:t xml:space="preserve">  伍  </w:t>
      </w:r>
      <w:r>
        <w:rPr>
          <w:rFonts w:hint="eastAsia" w:ascii="宋体" w:hAnsi="宋体" w:cs="宋体"/>
          <w:sz w:val="24"/>
          <w:szCs w:val="24"/>
          <w:highlight w:val="none"/>
        </w:rPr>
        <w:t>份，具有同等法律效力，承包人执</w:t>
      </w:r>
      <w:r>
        <w:rPr>
          <w:rFonts w:hint="eastAsia" w:ascii="宋体" w:hAnsi="宋体" w:cs="宋体"/>
          <w:sz w:val="24"/>
          <w:szCs w:val="24"/>
          <w:highlight w:val="none"/>
          <w:u w:val="single"/>
        </w:rPr>
        <w:t xml:space="preserve">  肆  </w:t>
      </w:r>
      <w:r>
        <w:rPr>
          <w:rFonts w:hint="eastAsia" w:ascii="宋体" w:hAnsi="宋体" w:cs="宋体"/>
          <w:sz w:val="24"/>
          <w:szCs w:val="24"/>
          <w:highlight w:val="none"/>
        </w:rPr>
        <w:t>份，分包人执</w:t>
      </w:r>
      <w:r>
        <w:rPr>
          <w:rFonts w:hint="eastAsia" w:ascii="宋体" w:hAnsi="宋体" w:cs="宋体"/>
          <w:sz w:val="24"/>
          <w:szCs w:val="24"/>
          <w:highlight w:val="none"/>
          <w:u w:val="single"/>
        </w:rPr>
        <w:t xml:space="preserve">  壹  </w:t>
      </w:r>
      <w:r>
        <w:rPr>
          <w:rFonts w:hint="eastAsia" w:ascii="宋体" w:hAnsi="宋体" w:cs="宋体"/>
          <w:sz w:val="24"/>
          <w:szCs w:val="24"/>
          <w:highlight w:val="none"/>
        </w:rPr>
        <w:t>份</w:t>
      </w:r>
      <w:r>
        <w:rPr>
          <w:rFonts w:hint="eastAsia" w:ascii="宋体" w:hAnsi="宋体" w:cs="宋体"/>
          <w:bCs/>
          <w:iCs/>
          <w:sz w:val="24"/>
          <w:szCs w:val="24"/>
          <w:highlight w:val="none"/>
        </w:rPr>
        <w:t>。</w:t>
      </w:r>
    </w:p>
    <w:p w14:paraId="4DA22B10">
      <w:pPr>
        <w:wordWrap w:val="0"/>
        <w:adjustRightInd w:val="0"/>
        <w:snapToGrid w:val="0"/>
        <w:spacing w:line="500" w:lineRule="exact"/>
        <w:rPr>
          <w:rFonts w:hint="eastAsia" w:ascii="宋体" w:hAnsi="宋体" w:cs="宋体"/>
          <w:sz w:val="24"/>
          <w:szCs w:val="24"/>
          <w:highlight w:val="none"/>
        </w:rPr>
        <w:sectPr>
          <w:footerReference r:id="rId5" w:type="default"/>
          <w:pgSz w:w="11906" w:h="16838"/>
          <w:pgMar w:top="1304" w:right="1701" w:bottom="1304" w:left="1701" w:header="851" w:footer="992" w:gutter="0"/>
          <w:pgNumType w:start="1"/>
          <w:cols w:space="0" w:num="1"/>
          <w:docGrid w:type="lines" w:linePitch="312" w:charSpace="0"/>
        </w:sectPr>
      </w:pPr>
    </w:p>
    <w:p w14:paraId="615AD7E8">
      <w:pPr>
        <w:wordWrap w:val="0"/>
        <w:adjustRightInd w:val="0"/>
        <w:snapToGrid w:val="0"/>
        <w:spacing w:line="500" w:lineRule="exact"/>
        <w:rPr>
          <w:rFonts w:hint="eastAsia" w:ascii="宋体" w:hAnsi="宋体" w:cs="宋体"/>
          <w:sz w:val="24"/>
          <w:szCs w:val="24"/>
          <w:highlight w:val="none"/>
        </w:rPr>
      </w:pPr>
      <w:r>
        <w:rPr>
          <w:rFonts w:hint="eastAsia" w:ascii="宋体" w:hAnsi="宋体" w:cs="宋体"/>
          <w:sz w:val="24"/>
          <w:szCs w:val="24"/>
          <w:highlight w:val="none"/>
        </w:rPr>
        <w:t>（本页为《建设工程施工专业分包合同》签署页）</w:t>
      </w:r>
    </w:p>
    <w:p w14:paraId="7519C9FA">
      <w:pPr>
        <w:wordWrap w:val="0"/>
        <w:adjustRightInd w:val="0"/>
        <w:snapToGrid w:val="0"/>
        <w:spacing w:line="500" w:lineRule="exact"/>
        <w:rPr>
          <w:rFonts w:hint="eastAsia" w:ascii="宋体" w:hAnsi="宋体" w:cs="宋体"/>
          <w:sz w:val="24"/>
          <w:szCs w:val="24"/>
          <w:highlight w:val="none"/>
        </w:rPr>
      </w:pPr>
    </w:p>
    <w:p w14:paraId="79666ED5">
      <w:pPr>
        <w:pStyle w:val="14"/>
        <w:ind w:firstLine="210"/>
        <w:rPr>
          <w:highlight w:val="none"/>
        </w:rPr>
      </w:pPr>
    </w:p>
    <w:p w14:paraId="69B6DAB0">
      <w:pPr>
        <w:wordWrap w:val="0"/>
        <w:adjustRightInd w:val="0"/>
        <w:snapToGrid w:val="0"/>
        <w:spacing w:line="700" w:lineRule="exact"/>
        <w:rPr>
          <w:rFonts w:hint="eastAsia" w:ascii="宋体" w:hAnsi="宋体" w:cs="宋体"/>
          <w:sz w:val="24"/>
          <w:szCs w:val="24"/>
          <w:highlight w:val="none"/>
          <w:u w:val="single"/>
        </w:rPr>
      </w:pPr>
      <w:r>
        <w:rPr>
          <w:rFonts w:hint="eastAsia" w:ascii="宋体" w:hAnsi="宋体" w:cs="宋体"/>
          <w:sz w:val="24"/>
          <w:szCs w:val="24"/>
          <w:highlight w:val="none"/>
        </w:rPr>
        <w:t xml:space="preserve">承包人：  (公章)                   分包人：  (公章)                    </w:t>
      </w:r>
    </w:p>
    <w:p w14:paraId="26F06EC7">
      <w:pPr>
        <w:wordWrap w:val="0"/>
        <w:adjustRightInd w:val="0"/>
        <w:snapToGrid w:val="0"/>
        <w:spacing w:line="700" w:lineRule="exact"/>
        <w:rPr>
          <w:rFonts w:hint="eastAsia" w:ascii="宋体" w:hAnsi="宋体" w:cs="宋体"/>
          <w:sz w:val="24"/>
          <w:szCs w:val="24"/>
          <w:highlight w:val="none"/>
        </w:rPr>
      </w:pPr>
    </w:p>
    <w:p w14:paraId="70D67DCA">
      <w:pPr>
        <w:wordWrap w:val="0"/>
        <w:adjustRightInd w:val="0"/>
        <w:snapToGrid w:val="0"/>
        <w:spacing w:line="700" w:lineRule="exact"/>
        <w:rPr>
          <w:rFonts w:hint="eastAsia" w:ascii="宋体" w:hAnsi="宋体" w:cs="宋体"/>
          <w:sz w:val="24"/>
          <w:szCs w:val="24"/>
          <w:highlight w:val="none"/>
        </w:rPr>
      </w:pPr>
      <w:r>
        <w:rPr>
          <w:rFonts w:hint="eastAsia" w:ascii="宋体" w:hAnsi="宋体" w:cs="宋体"/>
          <w:sz w:val="24"/>
          <w:szCs w:val="24"/>
          <w:highlight w:val="none"/>
        </w:rPr>
        <w:t>法定代表人：                       法定代表人：</w:t>
      </w:r>
    </w:p>
    <w:p w14:paraId="6FA4A2BE">
      <w:pPr>
        <w:wordWrap w:val="0"/>
        <w:adjustRightInd w:val="0"/>
        <w:snapToGrid w:val="0"/>
        <w:spacing w:line="700" w:lineRule="exact"/>
        <w:rPr>
          <w:rFonts w:hint="eastAsia" w:ascii="宋体" w:hAnsi="宋体" w:cs="宋体"/>
          <w:sz w:val="24"/>
          <w:szCs w:val="24"/>
          <w:highlight w:val="none"/>
        </w:rPr>
      </w:pPr>
      <w:r>
        <w:rPr>
          <w:rFonts w:hint="eastAsia" w:ascii="宋体" w:hAnsi="宋体" w:cs="宋体"/>
          <w:sz w:val="24"/>
          <w:szCs w:val="24"/>
          <w:highlight w:val="none"/>
        </w:rPr>
        <w:t>委托代理人：                       委托代理人：</w:t>
      </w:r>
    </w:p>
    <w:p w14:paraId="1A0456AD">
      <w:pPr>
        <w:wordWrap w:val="0"/>
        <w:adjustRightInd w:val="0"/>
        <w:snapToGrid w:val="0"/>
        <w:spacing w:line="700" w:lineRule="exact"/>
        <w:rPr>
          <w:rFonts w:hint="eastAsia" w:ascii="宋体" w:hAnsi="宋体" w:cs="宋体"/>
          <w:sz w:val="24"/>
          <w:szCs w:val="24"/>
          <w:highlight w:val="none"/>
        </w:rPr>
      </w:pPr>
      <w:r>
        <w:rPr>
          <w:rFonts w:hint="eastAsia" w:ascii="宋体" w:hAnsi="宋体" w:cs="宋体"/>
          <w:sz w:val="24"/>
          <w:szCs w:val="24"/>
          <w:highlight w:val="none"/>
        </w:rPr>
        <w:t>经办人：                           经办人：</w:t>
      </w:r>
    </w:p>
    <w:p w14:paraId="337DE3DF">
      <w:pPr>
        <w:wordWrap w:val="0"/>
        <w:adjustRightInd w:val="0"/>
        <w:snapToGrid w:val="0"/>
        <w:spacing w:line="700" w:lineRule="exact"/>
        <w:rPr>
          <w:rFonts w:hint="eastAsia" w:ascii="宋体" w:hAnsi="宋体" w:cs="宋体"/>
          <w:sz w:val="24"/>
          <w:szCs w:val="24"/>
          <w:highlight w:val="none"/>
          <w:u w:val="single"/>
        </w:rPr>
      </w:pPr>
      <w:r>
        <w:rPr>
          <w:rFonts w:hint="eastAsia" w:ascii="宋体" w:hAnsi="宋体" w:cs="宋体"/>
          <w:sz w:val="24"/>
          <w:szCs w:val="24"/>
          <w:highlight w:val="none"/>
        </w:rPr>
        <w:t>电  话：</w:t>
      </w:r>
      <w:r>
        <w:rPr>
          <w:rFonts w:hint="eastAsia" w:ascii="宋体" w:hAnsi="宋体" w:cs="宋体"/>
          <w:sz w:val="24"/>
          <w:szCs w:val="24"/>
          <w:highlight w:val="none"/>
          <w:u w:val="single"/>
        </w:rPr>
        <w:t xml:space="preserve">   0355—5945905    </w:t>
      </w:r>
      <w:r>
        <w:rPr>
          <w:rFonts w:hint="eastAsia" w:ascii="宋体" w:hAnsi="宋体" w:cs="宋体"/>
          <w:sz w:val="24"/>
          <w:szCs w:val="24"/>
          <w:highlight w:val="none"/>
        </w:rPr>
        <w:t xml:space="preserve">       电  话： </w:t>
      </w:r>
      <w:r>
        <w:rPr>
          <w:rFonts w:hint="eastAsia" w:ascii="宋体" w:hAnsi="宋体" w:cs="宋体"/>
          <w:sz w:val="24"/>
          <w:szCs w:val="24"/>
          <w:highlight w:val="none"/>
          <w:u w:val="single"/>
        </w:rPr>
        <w:t xml:space="preserve">                   </w:t>
      </w:r>
    </w:p>
    <w:p w14:paraId="7F9B9E40">
      <w:pPr>
        <w:wordWrap w:val="0"/>
        <w:adjustRightInd w:val="0"/>
        <w:snapToGrid w:val="0"/>
        <w:spacing w:line="700" w:lineRule="exact"/>
        <w:rPr>
          <w:rFonts w:hint="eastAsia" w:ascii="宋体" w:hAnsi="宋体" w:cs="宋体"/>
          <w:sz w:val="24"/>
          <w:szCs w:val="24"/>
          <w:highlight w:val="none"/>
        </w:rPr>
      </w:pPr>
      <w:r>
        <w:rPr>
          <w:rFonts w:hint="eastAsia" w:ascii="宋体" w:hAnsi="宋体" w:cs="宋体"/>
          <w:sz w:val="24"/>
          <w:szCs w:val="24"/>
          <w:highlight w:val="none"/>
        </w:rPr>
        <w:t>传  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传  真：</w:t>
      </w:r>
      <w:r>
        <w:rPr>
          <w:rFonts w:hint="eastAsia" w:ascii="宋体" w:hAnsi="宋体" w:cs="宋体"/>
          <w:sz w:val="24"/>
          <w:szCs w:val="24"/>
          <w:highlight w:val="none"/>
          <w:u w:val="single"/>
        </w:rPr>
        <w:t xml:space="preserve">                    </w:t>
      </w:r>
    </w:p>
    <w:p w14:paraId="1012FEF4">
      <w:pPr>
        <w:wordWrap w:val="0"/>
        <w:adjustRightInd w:val="0"/>
        <w:snapToGrid w:val="0"/>
        <w:spacing w:line="700" w:lineRule="exact"/>
        <w:rPr>
          <w:rFonts w:hint="eastAsia" w:ascii="宋体" w:hAnsi="宋体" w:cs="宋体"/>
          <w:sz w:val="24"/>
          <w:szCs w:val="24"/>
          <w:highlight w:val="none"/>
          <w:u w:val="single"/>
        </w:rPr>
      </w:pPr>
      <w:r>
        <w:rPr>
          <w:rFonts w:hint="eastAsia" w:ascii="宋体" w:hAnsi="宋体" w:cs="宋体"/>
          <w:sz w:val="24"/>
          <w:szCs w:val="24"/>
          <w:highlight w:val="none"/>
        </w:rPr>
        <w:t>电  邮：</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电  邮：</w:t>
      </w:r>
      <w:r>
        <w:rPr>
          <w:rFonts w:hint="eastAsia" w:ascii="宋体" w:hAnsi="宋体" w:cs="宋体"/>
          <w:sz w:val="24"/>
          <w:szCs w:val="24"/>
          <w:highlight w:val="none"/>
          <w:u w:val="single"/>
        </w:rPr>
        <w:t xml:space="preserve">                    </w:t>
      </w:r>
    </w:p>
    <w:p w14:paraId="43CB9A4D">
      <w:pPr>
        <w:spacing w:line="700" w:lineRule="exact"/>
        <w:rPr>
          <w:rFonts w:hint="eastAsia" w:ascii="宋体" w:hAnsi="宋体" w:cs="宋体"/>
          <w:sz w:val="24"/>
          <w:szCs w:val="24"/>
          <w:highlight w:val="none"/>
          <w:u w:val="single"/>
        </w:rPr>
      </w:pPr>
      <w:r>
        <w:rPr>
          <w:rFonts w:hint="eastAsia" w:ascii="宋体" w:hAnsi="宋体" w:cs="宋体"/>
          <w:sz w:val="24"/>
          <w:szCs w:val="24"/>
          <w:highlight w:val="none"/>
        </w:rPr>
        <w:t>地  址：</w:t>
      </w:r>
      <w:r>
        <w:rPr>
          <w:rFonts w:hint="eastAsia" w:ascii="宋体" w:hAnsi="宋体" w:cs="宋体"/>
          <w:sz w:val="24"/>
          <w:szCs w:val="24"/>
          <w:highlight w:val="none"/>
          <w:u w:val="single"/>
        </w:rPr>
        <w:t xml:space="preserve"> 山西省长治市屯留区 </w:t>
      </w:r>
      <w:r>
        <w:rPr>
          <w:rFonts w:hint="eastAsia" w:ascii="宋体" w:hAnsi="宋体" w:cs="宋体"/>
          <w:sz w:val="24"/>
          <w:szCs w:val="24"/>
          <w:highlight w:val="none"/>
        </w:rPr>
        <w:t xml:space="preserve">       地  址： </w:t>
      </w:r>
      <w:r>
        <w:rPr>
          <w:rFonts w:hint="eastAsia" w:ascii="宋体" w:hAnsi="宋体" w:cs="宋体"/>
          <w:sz w:val="24"/>
          <w:szCs w:val="24"/>
          <w:highlight w:val="none"/>
          <w:u w:val="single"/>
        </w:rPr>
        <w:t xml:space="preserve">                   </w:t>
      </w:r>
    </w:p>
    <w:p w14:paraId="74EB56A2">
      <w:pPr>
        <w:spacing w:line="700" w:lineRule="exact"/>
        <w:ind w:firstLine="960" w:firstLineChars="400"/>
        <w:rPr>
          <w:rFonts w:hint="eastAsia" w:ascii="宋体" w:hAnsi="宋体" w:cs="宋体"/>
          <w:sz w:val="24"/>
          <w:szCs w:val="24"/>
          <w:highlight w:val="none"/>
          <w:u w:val="single"/>
        </w:rPr>
      </w:pPr>
      <w:r>
        <w:rPr>
          <w:rFonts w:hint="eastAsia" w:ascii="宋体" w:hAnsi="宋体" w:cs="宋体"/>
          <w:sz w:val="24"/>
          <w:szCs w:val="24"/>
          <w:highlight w:val="none"/>
          <w:u w:val="single"/>
        </w:rPr>
        <w:t xml:space="preserve">北渔泽镇北渔泽 </w:t>
      </w:r>
      <w:r>
        <w:rPr>
          <w:rFonts w:hint="eastAsia" w:ascii="宋体" w:hAnsi="宋体" w:cs="宋体"/>
          <w:sz w:val="24"/>
          <w:szCs w:val="24"/>
          <w:highlight w:val="none"/>
        </w:rPr>
        <w:t xml:space="preserve">  </w:t>
      </w:r>
    </w:p>
    <w:p w14:paraId="03677CD1">
      <w:pPr>
        <w:pStyle w:val="2"/>
        <w:spacing w:line="700" w:lineRule="exact"/>
        <w:rPr>
          <w:rFonts w:hint="eastAsia" w:ascii="宋体" w:hAnsi="宋体" w:cs="宋体"/>
          <w:sz w:val="24"/>
          <w:szCs w:val="24"/>
          <w:highlight w:val="none"/>
          <w:u w:val="single"/>
        </w:rPr>
      </w:pPr>
      <w:r>
        <w:rPr>
          <w:rFonts w:hint="eastAsia" w:ascii="宋体" w:hAnsi="宋体" w:cs="宋体"/>
          <w:b w:val="0"/>
          <w:bCs w:val="0"/>
          <w:sz w:val="24"/>
          <w:szCs w:val="24"/>
          <w:highlight w:val="none"/>
        </w:rPr>
        <w:t>邮  编：</w:t>
      </w:r>
      <w:r>
        <w:rPr>
          <w:rFonts w:hint="eastAsia" w:ascii="宋体" w:hAnsi="宋体" w:cs="宋体"/>
          <w:b w:val="0"/>
          <w:bCs w:val="0"/>
          <w:sz w:val="24"/>
          <w:szCs w:val="24"/>
          <w:highlight w:val="none"/>
          <w:u w:val="single"/>
        </w:rPr>
        <w:t xml:space="preserve">      046102        </w:t>
      </w:r>
      <w:r>
        <w:rPr>
          <w:rFonts w:hint="eastAsia" w:ascii="宋体" w:hAnsi="宋体" w:cs="宋体"/>
          <w:b w:val="0"/>
          <w:bCs w:val="0"/>
          <w:sz w:val="24"/>
          <w:szCs w:val="24"/>
          <w:highlight w:val="none"/>
        </w:rPr>
        <w:t xml:space="preserve">       邮  编：</w:t>
      </w:r>
      <w:r>
        <w:rPr>
          <w:rFonts w:hint="eastAsia" w:ascii="宋体" w:hAnsi="宋体" w:cs="宋体"/>
          <w:b w:val="0"/>
          <w:bCs w:val="0"/>
          <w:sz w:val="24"/>
          <w:szCs w:val="24"/>
          <w:highlight w:val="none"/>
          <w:u w:val="single"/>
        </w:rPr>
        <w:t xml:space="preserve">                   </w:t>
      </w:r>
      <w:r>
        <w:rPr>
          <w:rFonts w:hint="eastAsia" w:ascii="宋体" w:hAnsi="宋体" w:cs="宋体"/>
          <w:sz w:val="24"/>
          <w:szCs w:val="24"/>
          <w:highlight w:val="none"/>
          <w:u w:val="single"/>
        </w:rPr>
        <w:br w:type="page"/>
      </w:r>
    </w:p>
    <w:p w14:paraId="342C0A0F">
      <w:pPr>
        <w:pStyle w:val="2"/>
        <w:spacing w:line="500" w:lineRule="exact"/>
        <w:ind w:firstLine="482"/>
        <w:jc w:val="center"/>
        <w:rPr>
          <w:rFonts w:hint="eastAsia" w:ascii="宋体" w:hAnsi="宋体" w:cs="宋体"/>
          <w:sz w:val="24"/>
          <w:szCs w:val="24"/>
          <w:highlight w:val="none"/>
        </w:rPr>
      </w:pPr>
      <w:r>
        <w:rPr>
          <w:rFonts w:hint="eastAsia" w:ascii="宋体" w:hAnsi="宋体" w:cs="宋体"/>
          <w:sz w:val="24"/>
          <w:szCs w:val="24"/>
          <w:highlight w:val="none"/>
        </w:rPr>
        <w:t>第二部分 通用合同条款</w:t>
      </w:r>
    </w:p>
    <w:p w14:paraId="188ABAC4">
      <w:pPr>
        <w:wordWrap w:val="0"/>
        <w:adjustRightInd w:val="0"/>
        <w:snapToGrid w:val="0"/>
        <w:spacing w:line="500" w:lineRule="exact"/>
        <w:ind w:firstLine="360" w:firstLineChars="150"/>
        <w:rPr>
          <w:rFonts w:hint="eastAsia" w:ascii="宋体" w:hAnsi="宋体" w:cs="宋体"/>
          <w:sz w:val="24"/>
          <w:szCs w:val="24"/>
          <w:highlight w:val="none"/>
        </w:rPr>
      </w:pPr>
      <w:r>
        <w:rPr>
          <w:rFonts w:hint="eastAsia" w:ascii="宋体" w:hAnsi="宋体" w:cs="宋体"/>
          <w:sz w:val="24"/>
          <w:szCs w:val="24"/>
          <w:highlight w:val="none"/>
        </w:rPr>
        <w:t>本合同执行住房和城乡建设部（建市施函[2014]74号）《建设工程施工专业分包合同（示范文本）》的通用合同条款。</w:t>
      </w:r>
    </w:p>
    <w:p w14:paraId="1D2BB876">
      <w:pPr>
        <w:wordWrap w:val="0"/>
        <w:adjustRightInd w:val="0"/>
        <w:snapToGrid w:val="0"/>
        <w:spacing w:line="500" w:lineRule="exact"/>
        <w:ind w:firstLine="482"/>
        <w:jc w:val="center"/>
        <w:rPr>
          <w:rFonts w:hint="eastAsia" w:ascii="宋体" w:hAnsi="宋体" w:cs="宋体"/>
          <w:b/>
          <w:bCs/>
          <w:kern w:val="44"/>
          <w:sz w:val="24"/>
          <w:szCs w:val="24"/>
          <w:highlight w:val="none"/>
        </w:rPr>
      </w:pPr>
      <w:r>
        <w:rPr>
          <w:rFonts w:hint="eastAsia" w:ascii="宋体" w:hAnsi="宋体" w:cs="宋体"/>
          <w:b/>
          <w:bCs/>
          <w:kern w:val="44"/>
          <w:sz w:val="24"/>
          <w:szCs w:val="24"/>
          <w:highlight w:val="none"/>
        </w:rPr>
        <w:t>第三部分  专用合同条款</w:t>
      </w:r>
    </w:p>
    <w:p w14:paraId="315056BE">
      <w:pPr>
        <w:spacing w:line="500" w:lineRule="exact"/>
        <w:ind w:firstLine="482" w:firstLineChars="200"/>
        <w:rPr>
          <w:rFonts w:hint="eastAsia" w:ascii="宋体" w:hAnsi="宋体" w:cs="宋体"/>
          <w:b/>
          <w:bCs/>
          <w:sz w:val="24"/>
          <w:szCs w:val="24"/>
          <w:highlight w:val="none"/>
        </w:rPr>
      </w:pPr>
      <w:bookmarkStart w:id="46" w:name="_Toc389586420"/>
      <w:bookmarkStart w:id="47" w:name="_Toc383940995"/>
      <w:bookmarkStart w:id="48" w:name="_Toc384026469"/>
      <w:bookmarkStart w:id="49" w:name="_Toc389602891"/>
      <w:bookmarkStart w:id="50" w:name="_Toc384137617"/>
      <w:bookmarkStart w:id="51" w:name="_Toc389663548"/>
      <w:bookmarkStart w:id="52" w:name="_Toc384054024"/>
      <w:r>
        <w:rPr>
          <w:rFonts w:hint="eastAsia" w:ascii="宋体" w:hAnsi="宋体" w:cs="宋体"/>
          <w:b/>
          <w:bCs/>
          <w:sz w:val="24"/>
          <w:szCs w:val="24"/>
          <w:highlight w:val="none"/>
        </w:rPr>
        <w:t>1. 一般约定</w:t>
      </w:r>
      <w:bookmarkEnd w:id="46"/>
    </w:p>
    <w:p w14:paraId="721C82A0">
      <w:pPr>
        <w:spacing w:line="500" w:lineRule="exact"/>
        <w:ind w:firstLine="482" w:firstLineChars="200"/>
        <w:rPr>
          <w:rFonts w:hint="eastAsia" w:ascii="宋体" w:hAnsi="宋体" w:cs="宋体"/>
          <w:sz w:val="24"/>
          <w:szCs w:val="24"/>
          <w:highlight w:val="none"/>
        </w:rPr>
      </w:pPr>
      <w:bookmarkStart w:id="53" w:name="_Toc389586421"/>
      <w:r>
        <w:rPr>
          <w:rFonts w:hint="eastAsia" w:ascii="宋体" w:hAnsi="宋体" w:cs="宋体"/>
          <w:b/>
          <w:bCs/>
          <w:sz w:val="24"/>
          <w:szCs w:val="24"/>
          <w:highlight w:val="none"/>
        </w:rPr>
        <w:t>1.1 词语定义与解释</w:t>
      </w:r>
      <w:bookmarkEnd w:id="53"/>
    </w:p>
    <w:p w14:paraId="4ACC1887">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1.1.1 其他分包合同文件包括：</w:t>
      </w:r>
      <w:r>
        <w:rPr>
          <w:rFonts w:hint="eastAsia" w:ascii="宋体" w:hAnsi="宋体" w:cs="宋体"/>
          <w:sz w:val="24"/>
          <w:szCs w:val="24"/>
          <w:highlight w:val="none"/>
          <w:u w:val="single"/>
        </w:rPr>
        <w:t xml:space="preserve">      执行通用合同条款        </w:t>
      </w:r>
      <w:r>
        <w:rPr>
          <w:rFonts w:hint="eastAsia" w:ascii="宋体" w:hAnsi="宋体" w:cs="宋体"/>
          <w:sz w:val="24"/>
          <w:szCs w:val="24"/>
          <w:highlight w:val="none"/>
        </w:rPr>
        <w:t>。</w:t>
      </w:r>
    </w:p>
    <w:p w14:paraId="12D5DC2C">
      <w:pPr>
        <w:wordWrap w:val="0"/>
        <w:adjustRightInd w:val="0"/>
        <w:snapToGrid w:val="0"/>
        <w:spacing w:line="500" w:lineRule="exact"/>
        <w:jc w:val="left"/>
        <w:rPr>
          <w:rFonts w:hint="eastAsia" w:ascii="宋体" w:hAnsi="宋体" w:cs="宋体"/>
          <w:sz w:val="24"/>
          <w:szCs w:val="24"/>
          <w:highlight w:val="none"/>
        </w:rPr>
      </w:pPr>
      <w:r>
        <w:rPr>
          <w:rFonts w:hint="eastAsia" w:ascii="宋体" w:hAnsi="宋体" w:cs="宋体"/>
          <w:sz w:val="24"/>
          <w:szCs w:val="24"/>
          <w:highlight w:val="none"/>
        </w:rPr>
        <w:t xml:space="preserve">    1.1.2 总包合同是指：</w:t>
      </w:r>
      <w:r>
        <w:rPr>
          <w:rFonts w:hint="eastAsia" w:ascii="宋体" w:hAnsi="宋体" w:cs="宋体"/>
          <w:sz w:val="24"/>
          <w:szCs w:val="24"/>
          <w:highlight w:val="none"/>
          <w:u w:val="single"/>
        </w:rPr>
        <w:t xml:space="preserve">    发包人与承包人签订的承包合同      </w:t>
      </w:r>
      <w:r>
        <w:rPr>
          <w:rFonts w:hint="eastAsia" w:ascii="宋体" w:hAnsi="宋体" w:cs="宋体"/>
          <w:sz w:val="24"/>
          <w:szCs w:val="24"/>
          <w:highlight w:val="none"/>
        </w:rPr>
        <w:t>。</w:t>
      </w:r>
    </w:p>
    <w:p w14:paraId="316C3164">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1.1.3 作为施工场地组成部分的其他场所包括：</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1EAFA604">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1.1.4 分包合同适用的其他规范性文件：</w:t>
      </w:r>
      <w:r>
        <w:rPr>
          <w:rFonts w:hint="eastAsia" w:ascii="宋体" w:hAnsi="宋体" w:cs="宋体"/>
          <w:kern w:val="0"/>
          <w:sz w:val="24"/>
          <w:szCs w:val="24"/>
          <w:highlight w:val="none"/>
          <w:u w:val="single"/>
        </w:rPr>
        <w:t>是指中华人民共和国法律、行政法规、部门规章，以及工程所在地的地方性法规和地方政府规章等</w:t>
      </w:r>
      <w:r>
        <w:rPr>
          <w:rFonts w:hint="eastAsia" w:ascii="宋体" w:hAnsi="宋体" w:cs="宋体"/>
          <w:sz w:val="24"/>
          <w:szCs w:val="24"/>
          <w:highlight w:val="none"/>
        </w:rPr>
        <w:t>。</w:t>
      </w:r>
    </w:p>
    <w:p w14:paraId="5380B561">
      <w:pPr>
        <w:spacing w:line="500" w:lineRule="exact"/>
        <w:ind w:firstLine="482" w:firstLineChars="200"/>
        <w:rPr>
          <w:rFonts w:hint="eastAsia" w:ascii="宋体" w:hAnsi="宋体" w:cs="宋体"/>
          <w:b/>
          <w:bCs/>
          <w:sz w:val="24"/>
          <w:szCs w:val="24"/>
          <w:highlight w:val="none"/>
        </w:rPr>
      </w:pPr>
      <w:bookmarkStart w:id="54" w:name="_Toc389586422"/>
      <w:r>
        <w:rPr>
          <w:rFonts w:hint="eastAsia" w:ascii="宋体" w:hAnsi="宋体" w:cs="宋体"/>
          <w:b/>
          <w:bCs/>
          <w:sz w:val="24"/>
          <w:szCs w:val="24"/>
          <w:highlight w:val="none"/>
        </w:rPr>
        <w:t>1.2 标准和规范</w:t>
      </w:r>
      <w:bookmarkEnd w:id="54"/>
    </w:p>
    <w:p w14:paraId="0BBB207C">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1.2.1 适用于分包工程的标准和规范包括：</w:t>
      </w:r>
      <w:r>
        <w:rPr>
          <w:rFonts w:hint="eastAsia" w:ascii="宋体" w:hAnsi="宋体" w:cs="宋体"/>
          <w:sz w:val="24"/>
          <w:szCs w:val="24"/>
          <w:highlight w:val="none"/>
          <w:u w:val="single"/>
        </w:rPr>
        <w:t xml:space="preserve">    执行通用合同条款    </w:t>
      </w:r>
      <w:r>
        <w:rPr>
          <w:rFonts w:hint="eastAsia" w:ascii="宋体" w:hAnsi="宋体" w:cs="宋体"/>
          <w:sz w:val="24"/>
          <w:szCs w:val="24"/>
          <w:highlight w:val="none"/>
        </w:rPr>
        <w:t>。</w:t>
      </w:r>
    </w:p>
    <w:p w14:paraId="24D9EB26">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1.2.2 分包人对前述标准和要求的了解程度：</w:t>
      </w:r>
      <w:r>
        <w:rPr>
          <w:rFonts w:hint="eastAsia" w:ascii="宋体" w:hAnsi="宋体" w:cs="宋体"/>
          <w:kern w:val="0"/>
          <w:sz w:val="24"/>
          <w:szCs w:val="24"/>
          <w:highlight w:val="none"/>
          <w:u w:val="single"/>
        </w:rPr>
        <w:t>分包人在签订分包合同前已充分了解前述标准和要求的复杂程度，签约合同价中已包含由此产生的费用</w:t>
      </w:r>
      <w:r>
        <w:rPr>
          <w:rFonts w:hint="eastAsia" w:ascii="宋体" w:hAnsi="宋体" w:cs="宋体"/>
          <w:kern w:val="0"/>
          <w:sz w:val="24"/>
          <w:szCs w:val="24"/>
          <w:highlight w:val="none"/>
        </w:rPr>
        <w:t>。</w:t>
      </w:r>
    </w:p>
    <w:p w14:paraId="571EC9D3">
      <w:pPr>
        <w:spacing w:line="500" w:lineRule="exact"/>
        <w:ind w:firstLine="482" w:firstLineChars="200"/>
        <w:rPr>
          <w:rFonts w:hint="eastAsia" w:ascii="宋体" w:hAnsi="宋体" w:cs="宋体"/>
          <w:b/>
          <w:bCs/>
          <w:sz w:val="24"/>
          <w:szCs w:val="24"/>
          <w:highlight w:val="none"/>
        </w:rPr>
      </w:pPr>
      <w:bookmarkStart w:id="55" w:name="_Toc389586423"/>
      <w:r>
        <w:rPr>
          <w:rFonts w:hint="eastAsia" w:ascii="宋体" w:hAnsi="宋体" w:cs="宋体"/>
          <w:b/>
          <w:bCs/>
          <w:sz w:val="24"/>
          <w:szCs w:val="24"/>
          <w:highlight w:val="none"/>
        </w:rPr>
        <w:t>1.3 分包合同文件的优先顺序</w:t>
      </w:r>
      <w:bookmarkEnd w:id="55"/>
    </w:p>
    <w:p w14:paraId="53318642">
      <w:pPr>
        <w:wordWrap w:val="0"/>
        <w:autoSpaceDE w:val="0"/>
        <w:autoSpaceDN w:val="0"/>
        <w:adjustRightInd w:val="0"/>
        <w:snapToGrid w:val="0"/>
        <w:spacing w:line="500" w:lineRule="exact"/>
        <w:ind w:firstLine="480" w:firstLineChars="200"/>
        <w:jc w:val="left"/>
        <w:rPr>
          <w:rFonts w:hint="eastAsia" w:ascii="宋体" w:hAnsi="宋体" w:cs="宋体"/>
          <w:kern w:val="0"/>
          <w:sz w:val="24"/>
          <w:szCs w:val="24"/>
          <w:highlight w:val="none"/>
          <w:u w:val="single"/>
        </w:rPr>
      </w:pPr>
      <w:r>
        <w:rPr>
          <w:rFonts w:hint="eastAsia" w:ascii="宋体" w:hAnsi="宋体" w:cs="宋体"/>
          <w:sz w:val="24"/>
          <w:szCs w:val="24"/>
          <w:highlight w:val="none"/>
        </w:rPr>
        <w:t>解释分包合同文件的优先顺序为：</w:t>
      </w:r>
      <w:r>
        <w:rPr>
          <w:rFonts w:hint="eastAsia" w:ascii="宋体" w:hAnsi="宋体" w:cs="宋体"/>
          <w:kern w:val="0"/>
          <w:sz w:val="24"/>
          <w:szCs w:val="24"/>
          <w:highlight w:val="none"/>
          <w:u w:val="single"/>
        </w:rPr>
        <w:t>（1）分包合同协议书；（2）中标通知书（如果有）；（3）投标函及其附录（如果有）；（4）专用合同条款</w:t>
      </w:r>
      <w:r>
        <w:rPr>
          <w:rFonts w:hint="eastAsia" w:ascii="宋体" w:hAnsi="宋体" w:cs="宋体"/>
          <w:sz w:val="24"/>
          <w:szCs w:val="24"/>
          <w:highlight w:val="none"/>
          <w:u w:val="single"/>
        </w:rPr>
        <w:t>及其附件</w:t>
      </w:r>
      <w:r>
        <w:rPr>
          <w:rFonts w:hint="eastAsia" w:ascii="宋体" w:hAnsi="宋体" w:cs="宋体"/>
          <w:kern w:val="0"/>
          <w:sz w:val="24"/>
          <w:szCs w:val="24"/>
          <w:highlight w:val="none"/>
          <w:u w:val="single"/>
        </w:rPr>
        <w:t>；（5）通用合同条款；（6）技术标准和要求；（7）图纸；（8）已标价工程量清单或预算书；（9）其他分包合同文件。</w:t>
      </w:r>
    </w:p>
    <w:p w14:paraId="2DF86D51">
      <w:pPr>
        <w:spacing w:line="500" w:lineRule="exact"/>
        <w:ind w:firstLine="482" w:firstLineChars="200"/>
        <w:rPr>
          <w:rFonts w:hint="eastAsia" w:ascii="宋体" w:hAnsi="宋体" w:cs="宋体"/>
          <w:b/>
          <w:bCs/>
          <w:sz w:val="24"/>
          <w:szCs w:val="24"/>
          <w:highlight w:val="none"/>
        </w:rPr>
      </w:pPr>
      <w:bookmarkStart w:id="56" w:name="_Toc389586424"/>
      <w:r>
        <w:rPr>
          <w:rFonts w:hint="eastAsia" w:ascii="宋体" w:hAnsi="宋体" w:cs="宋体"/>
          <w:b/>
          <w:bCs/>
          <w:sz w:val="24"/>
          <w:szCs w:val="24"/>
          <w:highlight w:val="none"/>
        </w:rPr>
        <w:t>1.4 图纸</w:t>
      </w:r>
      <w:bookmarkEnd w:id="56"/>
      <w:r>
        <w:rPr>
          <w:rFonts w:hint="eastAsia" w:ascii="宋体" w:hAnsi="宋体" w:cs="宋体"/>
          <w:b/>
          <w:bCs/>
          <w:sz w:val="24"/>
          <w:szCs w:val="24"/>
          <w:highlight w:val="none"/>
        </w:rPr>
        <w:tab/>
      </w:r>
    </w:p>
    <w:p w14:paraId="2E868003">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1.4.1 承包人向分包人提供图纸的期限：</w:t>
      </w:r>
      <w:r>
        <w:rPr>
          <w:rFonts w:hint="eastAsia" w:ascii="宋体" w:hAnsi="宋体" w:cs="宋体"/>
          <w:sz w:val="24"/>
          <w:szCs w:val="24"/>
          <w:highlight w:val="none"/>
          <w:u w:val="single"/>
        </w:rPr>
        <w:t xml:space="preserve"> 实际开工日期前7</w:t>
      </w:r>
      <w:r>
        <w:rPr>
          <w:rFonts w:hint="eastAsia" w:ascii="宋体" w:hAnsi="宋体" w:cs="宋体"/>
          <w:kern w:val="0"/>
          <w:sz w:val="24"/>
          <w:szCs w:val="24"/>
          <w:highlight w:val="none"/>
          <w:u w:val="single"/>
        </w:rPr>
        <w:t>天</w:t>
      </w:r>
      <w:r>
        <w:rPr>
          <w:rFonts w:hint="eastAsia" w:ascii="宋体" w:hAnsi="宋体" w:cs="宋体"/>
          <w:sz w:val="24"/>
          <w:szCs w:val="24"/>
          <w:highlight w:val="none"/>
        </w:rPr>
        <w:t>；</w:t>
      </w:r>
    </w:p>
    <w:p w14:paraId="78E9C6C8">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承包人向分包人提供图纸的数量：</w:t>
      </w:r>
      <w:r>
        <w:rPr>
          <w:rFonts w:hint="eastAsia" w:ascii="宋体" w:hAnsi="宋体" w:cs="宋体"/>
          <w:sz w:val="24"/>
          <w:szCs w:val="24"/>
          <w:highlight w:val="none"/>
          <w:u w:val="single"/>
        </w:rPr>
        <w:t xml:space="preserve">       施工图纸4套         </w:t>
      </w:r>
      <w:r>
        <w:rPr>
          <w:rFonts w:hint="eastAsia" w:ascii="宋体" w:hAnsi="宋体" w:cs="宋体"/>
          <w:sz w:val="24"/>
          <w:szCs w:val="24"/>
          <w:highlight w:val="none"/>
        </w:rPr>
        <w:t>；</w:t>
      </w:r>
    </w:p>
    <w:p w14:paraId="3B7BE2BD">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承包人向分包人提供图纸的内容：</w:t>
      </w:r>
      <w:r>
        <w:rPr>
          <w:rFonts w:hint="eastAsia" w:ascii="宋体" w:hAnsi="宋体" w:cs="宋体"/>
          <w:sz w:val="24"/>
          <w:szCs w:val="24"/>
          <w:highlight w:val="none"/>
          <w:u w:val="single"/>
        </w:rPr>
        <w:t xml:space="preserve">   涉及工程施工的全部施工图    </w:t>
      </w:r>
      <w:r>
        <w:rPr>
          <w:rFonts w:hint="eastAsia" w:ascii="宋体" w:hAnsi="宋体" w:cs="宋体"/>
          <w:sz w:val="24"/>
          <w:szCs w:val="24"/>
          <w:highlight w:val="none"/>
        </w:rPr>
        <w:t>；</w:t>
      </w:r>
    </w:p>
    <w:p w14:paraId="1AB63EB6">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分包人应在施工场地保存图纸的份数：</w:t>
      </w:r>
      <w:r>
        <w:rPr>
          <w:rFonts w:hint="eastAsia" w:ascii="宋体" w:hAnsi="宋体" w:cs="宋体"/>
          <w:sz w:val="24"/>
          <w:szCs w:val="24"/>
          <w:highlight w:val="none"/>
          <w:u w:val="single"/>
        </w:rPr>
        <w:t xml:space="preserve"> </w:t>
      </w:r>
      <w:r>
        <w:rPr>
          <w:rFonts w:hint="eastAsia" w:ascii="宋体" w:hAnsi="宋体" w:cs="宋体"/>
          <w:i/>
          <w:iCs/>
          <w:sz w:val="24"/>
          <w:szCs w:val="24"/>
          <w:highlight w:val="none"/>
          <w:u w:val="single"/>
        </w:rPr>
        <w:t xml:space="preserve">        </w:t>
      </w:r>
      <w:r>
        <w:rPr>
          <w:rFonts w:hint="eastAsia" w:ascii="宋体" w:hAnsi="宋体" w:cs="宋体"/>
          <w:sz w:val="24"/>
          <w:szCs w:val="24"/>
          <w:highlight w:val="none"/>
        </w:rPr>
        <w:t xml:space="preserve"> 。</w:t>
      </w:r>
    </w:p>
    <w:p w14:paraId="5C907B9F">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1.4.2 深化设计</w:t>
      </w:r>
    </w:p>
    <w:p w14:paraId="2DE362BF">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承包人委托分包人进行深化设计的范围及费用承担：</w:t>
      </w:r>
      <w:r>
        <w:rPr>
          <w:rFonts w:hint="eastAsia" w:ascii="宋体" w:hAnsi="宋体" w:cs="宋体"/>
          <w:sz w:val="24"/>
          <w:szCs w:val="24"/>
          <w:highlight w:val="none"/>
          <w:u w:val="single"/>
        </w:rPr>
        <w:t xml:space="preserve">  </w:t>
      </w:r>
      <w:r>
        <w:rPr>
          <w:rFonts w:hint="eastAsia" w:ascii="宋体" w:hAnsi="宋体" w:cs="宋体"/>
          <w:i/>
          <w:sz w:val="24"/>
          <w:szCs w:val="24"/>
          <w:highlight w:val="none"/>
          <w:u w:val="single"/>
        </w:rPr>
        <w:t xml:space="preserve">  </w:t>
      </w:r>
      <w:r>
        <w:rPr>
          <w:rFonts w:hint="eastAsia" w:ascii="宋体" w:hAnsi="宋体" w:cs="宋体"/>
          <w:sz w:val="24"/>
          <w:szCs w:val="24"/>
          <w:highlight w:val="none"/>
          <w:u w:val="single"/>
        </w:rPr>
        <w:t xml:space="preserve">             。</w:t>
      </w:r>
    </w:p>
    <w:p w14:paraId="07500704">
      <w:pPr>
        <w:spacing w:line="500" w:lineRule="exact"/>
        <w:ind w:firstLine="482" w:firstLineChars="200"/>
        <w:rPr>
          <w:rFonts w:hint="eastAsia" w:ascii="宋体" w:hAnsi="宋体" w:cs="宋体"/>
          <w:b/>
          <w:bCs/>
          <w:sz w:val="24"/>
          <w:szCs w:val="24"/>
          <w:highlight w:val="none"/>
        </w:rPr>
      </w:pPr>
      <w:bookmarkStart w:id="57" w:name="_Toc389586425"/>
      <w:r>
        <w:rPr>
          <w:rFonts w:hint="eastAsia" w:ascii="宋体" w:hAnsi="宋体" w:cs="宋体"/>
          <w:b/>
          <w:bCs/>
          <w:sz w:val="24"/>
          <w:szCs w:val="24"/>
          <w:highlight w:val="none"/>
        </w:rPr>
        <w:t>1.5 联络</w:t>
      </w:r>
      <w:bookmarkEnd w:id="57"/>
    </w:p>
    <w:p w14:paraId="2429DED3">
      <w:pPr>
        <w:spacing w:line="500" w:lineRule="exact"/>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双方应在</w:t>
      </w:r>
      <w:r>
        <w:rPr>
          <w:rFonts w:hint="eastAsia" w:ascii="宋体" w:hAnsi="宋体" w:cs="宋体"/>
          <w:kern w:val="0"/>
          <w:sz w:val="24"/>
          <w:szCs w:val="24"/>
          <w:highlight w:val="none"/>
          <w:u w:val="single"/>
        </w:rPr>
        <w:t xml:space="preserve">  7</w:t>
      </w:r>
      <w:r>
        <w:rPr>
          <w:rFonts w:hint="eastAsia" w:ascii="宋体" w:hAnsi="宋体" w:cs="宋体"/>
          <w:i/>
          <w:sz w:val="24"/>
          <w:szCs w:val="24"/>
          <w:highlight w:val="none"/>
          <w:u w:val="single"/>
        </w:rPr>
        <w:t xml:space="preserve"> </w:t>
      </w:r>
      <w:r>
        <w:rPr>
          <w:rFonts w:hint="eastAsia" w:ascii="宋体" w:hAnsi="宋体" w:cs="宋体"/>
          <w:kern w:val="0"/>
          <w:sz w:val="24"/>
          <w:szCs w:val="24"/>
          <w:highlight w:val="none"/>
          <w:u w:val="single"/>
        </w:rPr>
        <w:t xml:space="preserve"> </w:t>
      </w:r>
      <w:r>
        <w:rPr>
          <w:rFonts w:hint="eastAsia" w:ascii="宋体" w:hAnsi="宋体" w:cs="宋体"/>
          <w:kern w:val="0"/>
          <w:sz w:val="24"/>
          <w:szCs w:val="24"/>
          <w:highlight w:val="none"/>
        </w:rPr>
        <w:t>天内将与合同有关的通知、批准、证明、证书、指示、要求、请求、同意、意见、确定和决定等书面函件送达对方当事人。</w:t>
      </w:r>
    </w:p>
    <w:p w14:paraId="75560B3B">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承包人接收文件的地点：</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00F9DAB0">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承包人指定的接收人：</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0C4735FB">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分包人接收文件的地点：</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22EE9FD3">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分包人指定的接收人：</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37762520">
      <w:pPr>
        <w:spacing w:line="500" w:lineRule="exact"/>
        <w:ind w:firstLine="482" w:firstLineChars="200"/>
        <w:rPr>
          <w:rFonts w:hint="eastAsia" w:ascii="宋体" w:hAnsi="宋体" w:cs="宋体"/>
          <w:b/>
          <w:bCs/>
          <w:sz w:val="24"/>
          <w:szCs w:val="24"/>
          <w:highlight w:val="none"/>
        </w:rPr>
      </w:pPr>
      <w:bookmarkStart w:id="58" w:name="_Toc389586426"/>
      <w:r>
        <w:rPr>
          <w:rFonts w:hint="eastAsia" w:ascii="宋体" w:hAnsi="宋体" w:cs="宋体"/>
          <w:b/>
          <w:bCs/>
          <w:sz w:val="24"/>
          <w:szCs w:val="24"/>
          <w:highlight w:val="none"/>
        </w:rPr>
        <w:t>1.6 知识产权</w:t>
      </w:r>
      <w:bookmarkEnd w:id="58"/>
    </w:p>
    <w:p w14:paraId="4A7B190C">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1.6.1 分包人在合同签订前和签订时已确定采用的专利、专有技术、技术秘密的使用费：</w:t>
      </w:r>
      <w:r>
        <w:rPr>
          <w:rFonts w:hint="eastAsia" w:ascii="宋体" w:hAnsi="宋体" w:cs="宋体"/>
          <w:sz w:val="24"/>
          <w:szCs w:val="24"/>
          <w:highlight w:val="none"/>
          <w:u w:val="single"/>
        </w:rPr>
        <w:t xml:space="preserve">  分包人在合同签订前和签订时已确定采用的专利、专有技术、技术秘密的使用费已包含在签约合同价中 </w:t>
      </w:r>
      <w:r>
        <w:rPr>
          <w:rFonts w:hint="eastAsia" w:ascii="宋体" w:hAnsi="宋体" w:cs="宋体"/>
          <w:sz w:val="24"/>
          <w:szCs w:val="24"/>
          <w:highlight w:val="none"/>
        </w:rPr>
        <w:t>。</w:t>
      </w:r>
    </w:p>
    <w:p w14:paraId="6F7CD067">
      <w:pPr>
        <w:spacing w:line="500" w:lineRule="exact"/>
        <w:ind w:firstLine="482" w:firstLineChars="200"/>
        <w:rPr>
          <w:rFonts w:hint="eastAsia" w:ascii="宋体" w:hAnsi="宋体" w:cs="宋体"/>
          <w:b/>
          <w:bCs/>
          <w:sz w:val="24"/>
          <w:szCs w:val="24"/>
          <w:highlight w:val="none"/>
        </w:rPr>
      </w:pPr>
      <w:bookmarkStart w:id="59" w:name="_Toc389586427"/>
      <w:r>
        <w:rPr>
          <w:rFonts w:hint="eastAsia" w:ascii="宋体" w:hAnsi="宋体" w:cs="宋体"/>
          <w:b/>
          <w:bCs/>
          <w:sz w:val="24"/>
          <w:szCs w:val="24"/>
          <w:highlight w:val="none"/>
        </w:rPr>
        <w:t>2. 承包人</w:t>
      </w:r>
      <w:bookmarkEnd w:id="59"/>
    </w:p>
    <w:p w14:paraId="2253E09A">
      <w:pPr>
        <w:spacing w:line="500" w:lineRule="exact"/>
        <w:ind w:firstLine="482" w:firstLineChars="200"/>
        <w:rPr>
          <w:rFonts w:hint="eastAsia" w:ascii="宋体" w:hAnsi="宋体" w:cs="宋体"/>
          <w:b/>
          <w:bCs/>
          <w:sz w:val="24"/>
          <w:szCs w:val="24"/>
          <w:highlight w:val="none"/>
        </w:rPr>
      </w:pPr>
      <w:bookmarkStart w:id="60" w:name="_Toc389586428"/>
      <w:r>
        <w:rPr>
          <w:rFonts w:hint="eastAsia" w:ascii="宋体" w:hAnsi="宋体" w:cs="宋体"/>
          <w:b/>
          <w:bCs/>
          <w:sz w:val="24"/>
          <w:szCs w:val="24"/>
          <w:highlight w:val="none"/>
        </w:rPr>
        <w:t>2.1 提供基础资料、施工条件</w:t>
      </w:r>
      <w:bookmarkEnd w:id="60"/>
    </w:p>
    <w:p w14:paraId="06DC3E0E">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2.1.1 承包人移交施工场地的期限：</w:t>
      </w:r>
      <w:r>
        <w:rPr>
          <w:rFonts w:hint="eastAsia" w:ascii="宋体" w:hAnsi="宋体" w:cs="宋体"/>
          <w:sz w:val="24"/>
          <w:szCs w:val="24"/>
          <w:highlight w:val="none"/>
          <w:u w:val="single"/>
        </w:rPr>
        <w:t xml:space="preserve"> 实际开工日期3</w:t>
      </w:r>
      <w:r>
        <w:rPr>
          <w:rFonts w:hint="eastAsia" w:ascii="宋体" w:hAnsi="宋体" w:cs="宋体"/>
          <w:kern w:val="0"/>
          <w:sz w:val="24"/>
          <w:szCs w:val="24"/>
          <w:highlight w:val="none"/>
          <w:u w:val="single"/>
        </w:rPr>
        <w:t>天前</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4A4544D9">
      <w:pPr>
        <w:wordWrap w:val="0"/>
        <w:adjustRightInd w:val="0"/>
        <w:snapToGrid w:val="0"/>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rPr>
        <w:t xml:space="preserve">    承包人负责提供的其他设施和条件：</w:t>
      </w:r>
      <w:r>
        <w:rPr>
          <w:rFonts w:hint="eastAsia" w:ascii="宋体" w:hAnsi="宋体" w:cs="宋体"/>
          <w:sz w:val="24"/>
          <w:szCs w:val="24"/>
          <w:highlight w:val="none"/>
          <w:u w:val="single"/>
        </w:rPr>
        <w:t xml:space="preserve">  执行通用合同条款  </w:t>
      </w:r>
      <w:r>
        <w:rPr>
          <w:rFonts w:hint="eastAsia" w:ascii="宋体" w:hAnsi="宋体" w:cs="宋体"/>
          <w:sz w:val="24"/>
          <w:szCs w:val="24"/>
          <w:highlight w:val="none"/>
        </w:rPr>
        <w:t>。</w:t>
      </w:r>
    </w:p>
    <w:p w14:paraId="5E6F27A6">
      <w:pPr>
        <w:spacing w:line="500" w:lineRule="exact"/>
        <w:ind w:firstLine="482" w:firstLineChars="200"/>
        <w:rPr>
          <w:rFonts w:hint="eastAsia" w:ascii="宋体" w:hAnsi="宋体" w:cs="宋体"/>
          <w:b/>
          <w:bCs/>
          <w:sz w:val="24"/>
          <w:szCs w:val="24"/>
          <w:highlight w:val="none"/>
        </w:rPr>
      </w:pPr>
      <w:bookmarkStart w:id="61" w:name="_Toc389586429"/>
      <w:r>
        <w:rPr>
          <w:rFonts w:hint="eastAsia" w:ascii="宋体" w:hAnsi="宋体" w:cs="宋体"/>
          <w:b/>
          <w:bCs/>
          <w:sz w:val="24"/>
          <w:szCs w:val="24"/>
          <w:highlight w:val="none"/>
        </w:rPr>
        <w:t>2.2 承包人项目经理</w:t>
      </w:r>
      <w:bookmarkEnd w:id="61"/>
    </w:p>
    <w:p w14:paraId="6950FDF1">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姓    名：</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632B034E">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职    称：</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042AB1BD">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身份证号：</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74F15070">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建造师执业资格等级：</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68A7BC0A">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建造师注册证书号：</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05E5C672">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联系电话：</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5AFAABB9">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电子信箱：</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5D9ACDC5">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通信地址：</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16D4D82F">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承包人对项目经理的授权范围：</w:t>
      </w:r>
      <w:r>
        <w:rPr>
          <w:rFonts w:hint="eastAsia" w:ascii="宋体" w:hAnsi="宋体" w:cs="宋体"/>
          <w:kern w:val="0"/>
          <w:sz w:val="24"/>
          <w:szCs w:val="24"/>
          <w:highlight w:val="none"/>
          <w:u w:val="single"/>
        </w:rPr>
        <w:t xml:space="preserve">负责履行承包人的权利义务，负责现场协调分包人施工，并为分包人施工提供方便。但有关本工程合同及相关补充协议的签订、变更、解除、工程结算等和经济相关的事项须由承包人另行书面授权  </w:t>
      </w:r>
      <w:r>
        <w:rPr>
          <w:rFonts w:hint="eastAsia" w:ascii="宋体" w:hAnsi="宋体" w:cs="宋体"/>
          <w:sz w:val="24"/>
          <w:szCs w:val="24"/>
          <w:highlight w:val="none"/>
        </w:rPr>
        <w:t>。</w:t>
      </w:r>
    </w:p>
    <w:p w14:paraId="7E763FD6">
      <w:pPr>
        <w:spacing w:line="500" w:lineRule="exact"/>
        <w:ind w:firstLine="482" w:firstLineChars="200"/>
        <w:rPr>
          <w:rFonts w:hint="eastAsia" w:ascii="宋体" w:hAnsi="宋体" w:cs="宋体"/>
          <w:b/>
          <w:bCs/>
          <w:sz w:val="24"/>
          <w:szCs w:val="24"/>
          <w:highlight w:val="none"/>
        </w:rPr>
      </w:pPr>
      <w:bookmarkStart w:id="62" w:name="_Toc389586430"/>
      <w:r>
        <w:rPr>
          <w:rFonts w:hint="eastAsia" w:ascii="宋体" w:hAnsi="宋体" w:cs="宋体"/>
          <w:b/>
          <w:bCs/>
          <w:sz w:val="24"/>
          <w:szCs w:val="24"/>
          <w:highlight w:val="none"/>
        </w:rPr>
        <w:t>3. 分包人</w:t>
      </w:r>
      <w:bookmarkEnd w:id="62"/>
    </w:p>
    <w:p w14:paraId="197C00DC">
      <w:pPr>
        <w:spacing w:line="500" w:lineRule="exact"/>
        <w:ind w:firstLine="482" w:firstLineChars="200"/>
        <w:rPr>
          <w:rFonts w:hint="eastAsia" w:ascii="宋体" w:hAnsi="宋体" w:cs="宋体"/>
          <w:b/>
          <w:bCs/>
          <w:sz w:val="24"/>
          <w:szCs w:val="24"/>
          <w:highlight w:val="none"/>
        </w:rPr>
      </w:pPr>
      <w:bookmarkStart w:id="63" w:name="_Toc389586431"/>
      <w:r>
        <w:rPr>
          <w:rFonts w:hint="eastAsia" w:ascii="宋体" w:hAnsi="宋体" w:cs="宋体"/>
          <w:b/>
          <w:bCs/>
          <w:sz w:val="24"/>
          <w:szCs w:val="24"/>
          <w:highlight w:val="none"/>
        </w:rPr>
        <w:t>3.1 分包人的一般义务</w:t>
      </w:r>
      <w:bookmarkEnd w:id="63"/>
    </w:p>
    <w:p w14:paraId="4539C52C">
      <w:pPr>
        <w:spacing w:line="500" w:lineRule="exact"/>
        <w:ind w:firstLine="480" w:firstLineChars="200"/>
        <w:rPr>
          <w:rFonts w:hint="eastAsia" w:ascii="宋体" w:hAnsi="宋体" w:cs="宋体"/>
          <w:b/>
          <w:bCs/>
          <w:sz w:val="24"/>
          <w:szCs w:val="24"/>
          <w:highlight w:val="none"/>
        </w:rPr>
      </w:pPr>
      <w:r>
        <w:rPr>
          <w:rFonts w:hint="eastAsia" w:ascii="宋体" w:hAnsi="宋体" w:cs="宋体"/>
          <w:sz w:val="24"/>
          <w:szCs w:val="24"/>
          <w:highlight w:val="none"/>
        </w:rPr>
        <w:t>3.1.1 由分包人</w:t>
      </w:r>
      <w:r>
        <w:rPr>
          <w:rFonts w:hint="eastAsia" w:ascii="宋体" w:hAnsi="宋体" w:cs="宋体"/>
          <w:kern w:val="0"/>
          <w:sz w:val="24"/>
          <w:szCs w:val="24"/>
          <w:highlight w:val="none"/>
        </w:rPr>
        <w:t>办理的许可和批准手续包括</w:t>
      </w:r>
      <w:r>
        <w:rPr>
          <w:rFonts w:hint="eastAsia" w:ascii="宋体" w:hAnsi="宋体" w:cs="宋体"/>
          <w:sz w:val="24"/>
          <w:szCs w:val="24"/>
          <w:highlight w:val="none"/>
        </w:rPr>
        <w:t>：</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bookmarkStart w:id="64" w:name="_Toc389586432"/>
      <w:r>
        <w:rPr>
          <w:rFonts w:hint="eastAsia" w:ascii="宋体" w:hAnsi="宋体" w:cs="宋体"/>
          <w:sz w:val="24"/>
          <w:szCs w:val="24"/>
          <w:highlight w:val="none"/>
        </w:rPr>
        <w:t xml:space="preserve"> </w:t>
      </w:r>
      <w:r>
        <w:rPr>
          <w:rFonts w:hint="eastAsia" w:ascii="宋体" w:hAnsi="宋体" w:cs="宋体"/>
          <w:b/>
          <w:bCs/>
          <w:sz w:val="24"/>
          <w:szCs w:val="24"/>
          <w:highlight w:val="none"/>
        </w:rPr>
        <w:t xml:space="preserve">   </w:t>
      </w:r>
    </w:p>
    <w:p w14:paraId="544E0D3D">
      <w:pP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3.2 分包人项目经理和其他主要项目管理人员</w:t>
      </w:r>
      <w:bookmarkEnd w:id="64"/>
    </w:p>
    <w:p w14:paraId="515EB859">
      <w:pPr>
        <w:wordWrap w:val="0"/>
        <w:adjustRightInd w:val="0"/>
        <w:snapToGrid w:val="0"/>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rPr>
        <w:t>3.2.1 分包人提交项目管理机构及施工人员安排报告的期限：</w:t>
      </w:r>
      <w:r>
        <w:rPr>
          <w:rFonts w:hint="eastAsia" w:ascii="宋体" w:hAnsi="宋体" w:cs="宋体"/>
          <w:kern w:val="0"/>
          <w:sz w:val="24"/>
          <w:szCs w:val="24"/>
          <w:highlight w:val="none"/>
          <w:u w:val="single"/>
        </w:rPr>
        <w:t>收到开工通知后7天内</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w:t>
      </w:r>
    </w:p>
    <w:p w14:paraId="39D30A58">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kern w:val="0"/>
          <w:sz w:val="24"/>
          <w:szCs w:val="24"/>
          <w:highlight w:val="none"/>
          <w:u w:val="single"/>
        </w:rPr>
        <w:t>分包人应在收到开工通知后7天内同时向承包人提交分包人为前述人员缴纳社会保险的有效证明。分包人不提交上述文件的，前述人员无权履行职责，承包人有权要求更换，由此增加的费用和延误的工期由分包人承担。</w:t>
      </w:r>
    </w:p>
    <w:p w14:paraId="7040ADE7">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分包人项目经理信息：</w:t>
      </w:r>
    </w:p>
    <w:p w14:paraId="7C5C723F">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姓    名：</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0197DA7E">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职    称：</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39A5D423">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身份证号：</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29C81DAE">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建造师执业资格等级：</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7D276EC7">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建造师注册证书号：</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6CD1CEF0">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联系电话：</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47FCB6C3">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电子信箱：</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44FC2E22">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通信地址：</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19829948">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分包人对分包人项目经理的授权范围：</w:t>
      </w:r>
      <w:r>
        <w:rPr>
          <w:rFonts w:hint="eastAsia" w:ascii="宋体" w:hAnsi="宋体" w:cs="宋体"/>
          <w:kern w:val="0"/>
          <w:sz w:val="24"/>
          <w:szCs w:val="24"/>
          <w:highlight w:val="none"/>
          <w:u w:val="single"/>
        </w:rPr>
        <w:t xml:space="preserve">代表分包人负责履行分包人的权利义务 </w:t>
      </w:r>
      <w:r>
        <w:rPr>
          <w:rFonts w:hint="eastAsia" w:ascii="宋体" w:hAnsi="宋体" w:cs="宋体"/>
          <w:sz w:val="24"/>
          <w:szCs w:val="24"/>
          <w:highlight w:val="none"/>
        </w:rPr>
        <w:t>。</w:t>
      </w:r>
    </w:p>
    <w:p w14:paraId="423F2B35">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3.2.2 分包人项目经理是否可以兼任其他项目的项目经理：</w:t>
      </w:r>
      <w:r>
        <w:rPr>
          <w:rFonts w:hint="eastAsia" w:ascii="宋体" w:hAnsi="宋体" w:cs="宋体"/>
          <w:sz w:val="24"/>
          <w:szCs w:val="24"/>
          <w:highlight w:val="none"/>
          <w:u w:val="single"/>
        </w:rPr>
        <w:t xml:space="preserve"> 不得同时兼任 </w:t>
      </w:r>
      <w:r>
        <w:rPr>
          <w:rFonts w:hint="eastAsia" w:ascii="宋体" w:hAnsi="宋体" w:cs="宋体"/>
          <w:sz w:val="24"/>
          <w:szCs w:val="24"/>
          <w:highlight w:val="none"/>
        </w:rPr>
        <w:t>。</w:t>
      </w:r>
    </w:p>
    <w:p w14:paraId="0C69781C">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分包人项目经理兼任其他项目的项目经理的违约责任：</w:t>
      </w:r>
      <w:r>
        <w:rPr>
          <w:rFonts w:hint="eastAsia" w:ascii="宋体" w:hAnsi="宋体" w:cs="宋体"/>
          <w:sz w:val="24"/>
          <w:szCs w:val="24"/>
          <w:highlight w:val="none"/>
          <w:u w:val="single"/>
        </w:rPr>
        <w:t xml:space="preserve">  发现一次，罚款1万元累计发现3次的，承包人可单方解除合同，并要求分包人承担签约合同总价5%的违约金，承包人有权从应付分包人进度款中直接扣减  </w:t>
      </w:r>
      <w:r>
        <w:rPr>
          <w:rFonts w:hint="eastAsia" w:ascii="宋体" w:hAnsi="宋体" w:cs="宋体"/>
          <w:sz w:val="24"/>
          <w:szCs w:val="24"/>
          <w:highlight w:val="none"/>
        </w:rPr>
        <w:t>。</w:t>
      </w:r>
    </w:p>
    <w:p w14:paraId="45317435">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3.2.3 分包人项目经理和其他主要项目管理人员擅自离开施工场地的违约责任：</w:t>
      </w:r>
      <w:r>
        <w:rPr>
          <w:rFonts w:hint="eastAsia" w:ascii="宋体" w:hAnsi="宋体" w:cs="宋体"/>
          <w:sz w:val="24"/>
          <w:szCs w:val="24"/>
          <w:highlight w:val="none"/>
          <w:u w:val="single"/>
        </w:rPr>
        <w:t xml:space="preserve">   分包人项目负责人在施工现场的时间应不少于正常作业期间的85%（每月不少于26个工作日）；擅离职守的，发现一次罚款500元；累计超过3次的，承包人有权要求分包人更换项目负责人，并要求分包人向承包人支付签约合同总价5%的违约金，承包人有权从应付分包人进度款中直接扣减  </w:t>
      </w:r>
      <w:r>
        <w:rPr>
          <w:rFonts w:hint="eastAsia" w:ascii="宋体" w:hAnsi="宋体" w:cs="宋体"/>
          <w:sz w:val="24"/>
          <w:szCs w:val="24"/>
          <w:highlight w:val="none"/>
        </w:rPr>
        <w:t>。</w:t>
      </w:r>
    </w:p>
    <w:p w14:paraId="1543EB46">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3.2.4</w:t>
      </w:r>
      <w:r>
        <w:rPr>
          <w:rFonts w:hint="eastAsia" w:ascii="宋体" w:hAnsi="宋体" w:cs="宋体"/>
          <w:kern w:val="0"/>
          <w:sz w:val="24"/>
          <w:szCs w:val="24"/>
          <w:highlight w:val="none"/>
        </w:rPr>
        <w:t>分包人需要更换分包人项目经理或其他主要项目管理人员的，应提前7天书面通知承包人，并征得承包人书面同意。未经承包人书面同意，分包人不得擅自更换。</w:t>
      </w:r>
      <w:r>
        <w:rPr>
          <w:rFonts w:hint="eastAsia" w:ascii="宋体" w:hAnsi="宋体" w:cs="宋体"/>
          <w:sz w:val="24"/>
          <w:szCs w:val="24"/>
          <w:highlight w:val="none"/>
        </w:rPr>
        <w:t>分包人擅自更换</w:t>
      </w:r>
      <w:r>
        <w:rPr>
          <w:rFonts w:hint="eastAsia" w:ascii="宋体" w:hAnsi="宋体" w:cs="宋体"/>
          <w:kern w:val="0"/>
          <w:sz w:val="24"/>
          <w:szCs w:val="24"/>
          <w:highlight w:val="none"/>
        </w:rPr>
        <w:t>分包人项目经理或其他主要项目管理人员的违约责任：</w:t>
      </w:r>
      <w:r>
        <w:rPr>
          <w:rFonts w:hint="eastAsia" w:ascii="宋体" w:hAnsi="宋体" w:cs="宋体"/>
          <w:sz w:val="24"/>
          <w:szCs w:val="24"/>
          <w:highlight w:val="none"/>
          <w:u w:val="single"/>
        </w:rPr>
        <w:t xml:space="preserve">承包人有权要求分包人向承包人支付签约合同总价5%的违约金，承包人有权从应付分包人进度款中直接扣减  </w:t>
      </w:r>
      <w:r>
        <w:rPr>
          <w:rFonts w:hint="eastAsia" w:ascii="宋体" w:hAnsi="宋体" w:cs="宋体"/>
          <w:sz w:val="24"/>
          <w:szCs w:val="24"/>
          <w:highlight w:val="none"/>
        </w:rPr>
        <w:t>。</w:t>
      </w:r>
    </w:p>
    <w:p w14:paraId="69A5A3FC">
      <w:pPr>
        <w:wordWrap w:val="0"/>
        <w:adjustRightInd w:val="0"/>
        <w:snapToGrid w:val="0"/>
        <w:spacing w:line="500" w:lineRule="exact"/>
        <w:ind w:firstLine="480" w:firstLineChars="200"/>
        <w:jc w:val="left"/>
        <w:rPr>
          <w:rFonts w:hint="eastAsia" w:ascii="宋体" w:hAnsi="宋体" w:cs="宋体"/>
          <w:i/>
          <w:sz w:val="24"/>
          <w:szCs w:val="24"/>
          <w:highlight w:val="none"/>
        </w:rPr>
      </w:pPr>
      <w:r>
        <w:rPr>
          <w:rFonts w:hint="eastAsia" w:ascii="宋体" w:hAnsi="宋体" w:cs="宋体"/>
          <w:kern w:val="0"/>
          <w:sz w:val="24"/>
          <w:szCs w:val="24"/>
          <w:highlight w:val="none"/>
        </w:rPr>
        <w:t>承包人有权书面通知分包人更换不称职的分包人项目经理或其他主要项目管理人员的，分包人应在接到更换通知后7天内进行更换。</w:t>
      </w:r>
      <w:r>
        <w:rPr>
          <w:rFonts w:hint="eastAsia" w:ascii="宋体" w:hAnsi="宋体" w:cs="宋体"/>
          <w:sz w:val="24"/>
          <w:szCs w:val="24"/>
          <w:highlight w:val="none"/>
        </w:rPr>
        <w:t>分包人无正当理由拒绝更换分包人项目经理</w:t>
      </w:r>
      <w:r>
        <w:rPr>
          <w:rFonts w:hint="eastAsia" w:ascii="宋体" w:hAnsi="宋体" w:cs="宋体"/>
          <w:kern w:val="0"/>
          <w:sz w:val="24"/>
          <w:szCs w:val="24"/>
          <w:highlight w:val="none"/>
        </w:rPr>
        <w:t>或其他主要项目管理人员</w:t>
      </w:r>
      <w:r>
        <w:rPr>
          <w:rFonts w:hint="eastAsia" w:ascii="宋体" w:hAnsi="宋体" w:cs="宋体"/>
          <w:sz w:val="24"/>
          <w:szCs w:val="24"/>
          <w:highlight w:val="none"/>
        </w:rPr>
        <w:t>的违约责任：</w:t>
      </w:r>
      <w:r>
        <w:rPr>
          <w:rFonts w:hint="eastAsia" w:ascii="宋体" w:hAnsi="宋体" w:cs="宋体"/>
          <w:sz w:val="24"/>
          <w:szCs w:val="24"/>
          <w:highlight w:val="none"/>
          <w:u w:val="single"/>
        </w:rPr>
        <w:t xml:space="preserve"> 承包人有权要求分包人向承包人支付签约合同总价5%的违约金，承包人有权从应付分包人进度款中直接扣减 </w:t>
      </w:r>
      <w:r>
        <w:rPr>
          <w:rFonts w:hint="eastAsia" w:ascii="宋体" w:hAnsi="宋体" w:cs="宋体"/>
          <w:i/>
          <w:sz w:val="24"/>
          <w:szCs w:val="24"/>
          <w:highlight w:val="none"/>
          <w:u w:val="single"/>
        </w:rPr>
        <w:t xml:space="preserve"> </w:t>
      </w:r>
      <w:r>
        <w:rPr>
          <w:rFonts w:hint="eastAsia" w:ascii="宋体" w:hAnsi="宋体" w:cs="宋体"/>
          <w:i/>
          <w:sz w:val="24"/>
          <w:szCs w:val="24"/>
          <w:highlight w:val="none"/>
        </w:rPr>
        <w:t>。</w:t>
      </w:r>
    </w:p>
    <w:p w14:paraId="1290E64C">
      <w:pPr>
        <w:spacing w:line="500" w:lineRule="exact"/>
        <w:ind w:firstLine="482" w:firstLineChars="200"/>
        <w:rPr>
          <w:rFonts w:hint="eastAsia" w:ascii="宋体" w:hAnsi="宋体" w:cs="宋体"/>
          <w:b/>
          <w:bCs/>
          <w:sz w:val="24"/>
          <w:szCs w:val="24"/>
          <w:highlight w:val="none"/>
        </w:rPr>
      </w:pPr>
      <w:bookmarkStart w:id="65" w:name="_Toc389586433"/>
      <w:r>
        <w:rPr>
          <w:rFonts w:hint="eastAsia" w:ascii="宋体" w:hAnsi="宋体" w:cs="宋体"/>
          <w:b/>
          <w:bCs/>
          <w:sz w:val="24"/>
          <w:szCs w:val="24"/>
          <w:highlight w:val="none"/>
        </w:rPr>
        <w:t>3.3 特殊工种上岗作业要求</w:t>
      </w:r>
      <w:bookmarkEnd w:id="65"/>
    </w:p>
    <w:p w14:paraId="5BDFACBA">
      <w:pPr>
        <w:wordWrap w:val="0"/>
        <w:adjustRightInd w:val="0"/>
        <w:snapToGrid w:val="0"/>
        <w:spacing w:line="500" w:lineRule="exact"/>
        <w:ind w:firstLine="480" w:firstLineChars="200"/>
        <w:jc w:val="left"/>
        <w:rPr>
          <w:rFonts w:hint="eastAsia" w:ascii="宋体" w:hAnsi="宋体" w:cs="宋体"/>
          <w:i/>
          <w:sz w:val="24"/>
          <w:szCs w:val="24"/>
          <w:highlight w:val="none"/>
        </w:rPr>
      </w:pPr>
      <w:r>
        <w:rPr>
          <w:rFonts w:hint="eastAsia" w:ascii="宋体" w:hAnsi="宋体" w:cs="宋体"/>
          <w:kern w:val="0"/>
          <w:sz w:val="24"/>
          <w:szCs w:val="24"/>
          <w:highlight w:val="none"/>
        </w:rPr>
        <w:t>法律规定需要持证上岗的特殊工种作业人员，必须具有行政管理部门颁发的相应岗位的特殊工种上岗证，并在相应作业人员进场前报送承包人审核并备案。</w:t>
      </w:r>
      <w:r>
        <w:rPr>
          <w:rFonts w:hint="eastAsia" w:ascii="宋体" w:hAnsi="宋体" w:cs="宋体"/>
          <w:sz w:val="24"/>
          <w:szCs w:val="24"/>
          <w:highlight w:val="none"/>
        </w:rPr>
        <w:t>特殊工种作业人员无证上岗的违约责任：</w:t>
      </w:r>
      <w:r>
        <w:rPr>
          <w:rFonts w:hint="eastAsia" w:ascii="宋体" w:hAnsi="宋体" w:cs="宋体"/>
          <w:sz w:val="24"/>
          <w:szCs w:val="24"/>
          <w:highlight w:val="none"/>
          <w:u w:val="single"/>
        </w:rPr>
        <w:t>承包人有权要求分包人更换相应的无证作业人员并向承包人支付签约合同总价5%的违约金，承包人有权从应付分包人进度款中直接扣减</w:t>
      </w:r>
      <w:r>
        <w:rPr>
          <w:rFonts w:hint="eastAsia" w:ascii="宋体" w:hAnsi="宋体" w:cs="宋体"/>
          <w:sz w:val="24"/>
          <w:szCs w:val="24"/>
          <w:highlight w:val="none"/>
        </w:rPr>
        <w:t>。</w:t>
      </w:r>
    </w:p>
    <w:p w14:paraId="2EF24179">
      <w:pPr>
        <w:spacing w:line="500" w:lineRule="exact"/>
        <w:ind w:firstLine="482" w:firstLineChars="200"/>
        <w:rPr>
          <w:rFonts w:hint="eastAsia" w:ascii="宋体" w:hAnsi="宋体" w:cs="宋体"/>
          <w:b/>
          <w:bCs/>
          <w:sz w:val="24"/>
          <w:szCs w:val="24"/>
          <w:highlight w:val="none"/>
        </w:rPr>
      </w:pPr>
      <w:bookmarkStart w:id="66" w:name="_Toc389586434"/>
      <w:r>
        <w:rPr>
          <w:rFonts w:hint="eastAsia" w:ascii="宋体" w:hAnsi="宋体" w:cs="宋体"/>
          <w:b/>
          <w:bCs/>
          <w:sz w:val="24"/>
          <w:szCs w:val="24"/>
          <w:highlight w:val="none"/>
        </w:rPr>
        <w:t>3.4 禁止转包和再分包</w:t>
      </w:r>
      <w:bookmarkEnd w:id="66"/>
    </w:p>
    <w:p w14:paraId="1EC699FF">
      <w:pPr>
        <w:wordWrap w:val="0"/>
        <w:adjustRightInd w:val="0"/>
        <w:snapToGrid w:val="0"/>
        <w:spacing w:line="500" w:lineRule="exact"/>
        <w:ind w:firstLine="480" w:firstLineChars="200"/>
        <w:jc w:val="left"/>
        <w:rPr>
          <w:rFonts w:hint="eastAsia" w:ascii="宋体" w:hAnsi="宋体" w:cs="宋体"/>
          <w:i/>
          <w:sz w:val="24"/>
          <w:szCs w:val="24"/>
          <w:highlight w:val="none"/>
        </w:rPr>
      </w:pPr>
      <w:r>
        <w:rPr>
          <w:rFonts w:hint="eastAsia" w:ascii="宋体" w:hAnsi="宋体" w:cs="宋体"/>
          <w:kern w:val="0"/>
          <w:sz w:val="24"/>
          <w:szCs w:val="24"/>
          <w:highlight w:val="none"/>
        </w:rPr>
        <w:t>3.4.1 分包人转包分包工程的违约责任：</w:t>
      </w:r>
      <w:r>
        <w:rPr>
          <w:rFonts w:hint="eastAsia" w:ascii="宋体" w:hAnsi="宋体" w:cs="宋体"/>
          <w:kern w:val="0"/>
          <w:sz w:val="24"/>
          <w:szCs w:val="24"/>
          <w:highlight w:val="none"/>
          <w:u w:val="single"/>
        </w:rPr>
        <w:t>承包人</w:t>
      </w:r>
      <w:r>
        <w:rPr>
          <w:rFonts w:hint="eastAsia" w:ascii="宋体" w:hAnsi="宋体" w:cs="宋体"/>
          <w:sz w:val="24"/>
          <w:szCs w:val="24"/>
          <w:highlight w:val="none"/>
          <w:u w:val="single"/>
        </w:rPr>
        <w:t xml:space="preserve">可单方解除合同，并要求分包人承担签约合同总价10%的违约金，承包人有权从应付分包人进度款中直接扣减 </w:t>
      </w:r>
      <w:r>
        <w:rPr>
          <w:rFonts w:hint="eastAsia" w:ascii="宋体" w:hAnsi="宋体" w:cs="宋体"/>
          <w:i/>
          <w:sz w:val="24"/>
          <w:szCs w:val="24"/>
          <w:highlight w:val="none"/>
          <w:u w:val="single"/>
        </w:rPr>
        <w:t xml:space="preserve"> </w:t>
      </w:r>
      <w:r>
        <w:rPr>
          <w:rFonts w:hint="eastAsia" w:ascii="宋体" w:hAnsi="宋体" w:cs="宋体"/>
          <w:i/>
          <w:sz w:val="24"/>
          <w:szCs w:val="24"/>
          <w:highlight w:val="none"/>
        </w:rPr>
        <w:t>。</w:t>
      </w:r>
    </w:p>
    <w:p w14:paraId="440E99B6">
      <w:pPr>
        <w:wordWrap w:val="0"/>
        <w:adjustRightInd w:val="0"/>
        <w:snapToGrid w:val="0"/>
        <w:spacing w:line="500" w:lineRule="exact"/>
        <w:ind w:firstLine="480" w:firstLineChars="200"/>
        <w:jc w:val="left"/>
        <w:rPr>
          <w:rFonts w:hint="eastAsia" w:ascii="宋体" w:hAnsi="宋体" w:cs="宋体"/>
          <w:i/>
          <w:sz w:val="24"/>
          <w:szCs w:val="24"/>
          <w:highlight w:val="none"/>
        </w:rPr>
      </w:pPr>
      <w:r>
        <w:rPr>
          <w:rFonts w:hint="eastAsia" w:ascii="宋体" w:hAnsi="宋体" w:cs="宋体"/>
          <w:kern w:val="0"/>
          <w:sz w:val="24"/>
          <w:szCs w:val="24"/>
          <w:highlight w:val="none"/>
        </w:rPr>
        <w:t>3.4.2 分包人违法分包工程的违约责任：</w:t>
      </w:r>
      <w:r>
        <w:rPr>
          <w:rFonts w:hint="eastAsia" w:ascii="宋体" w:hAnsi="宋体" w:cs="宋体"/>
          <w:kern w:val="0"/>
          <w:sz w:val="24"/>
          <w:szCs w:val="24"/>
          <w:highlight w:val="none"/>
          <w:u w:val="single"/>
        </w:rPr>
        <w:t xml:space="preserve">   承包人</w:t>
      </w:r>
      <w:r>
        <w:rPr>
          <w:rFonts w:hint="eastAsia" w:ascii="宋体" w:hAnsi="宋体" w:cs="宋体"/>
          <w:sz w:val="24"/>
          <w:szCs w:val="24"/>
          <w:highlight w:val="none"/>
          <w:u w:val="single"/>
        </w:rPr>
        <w:t xml:space="preserve">可单方解除合同，并要求分包人承担签约合同总价10%的违约金，承包人有权从应付分包人进度款中直接扣减  </w:t>
      </w:r>
      <w:r>
        <w:rPr>
          <w:rFonts w:hint="eastAsia" w:ascii="宋体" w:hAnsi="宋体" w:cs="宋体"/>
          <w:sz w:val="24"/>
          <w:szCs w:val="24"/>
          <w:highlight w:val="none"/>
        </w:rPr>
        <w:t>。</w:t>
      </w:r>
    </w:p>
    <w:p w14:paraId="7F2BBF4B">
      <w:pPr>
        <w:spacing w:line="500" w:lineRule="exact"/>
        <w:ind w:firstLine="482" w:firstLineChars="200"/>
        <w:rPr>
          <w:rFonts w:hint="eastAsia" w:ascii="宋体" w:hAnsi="宋体" w:cs="宋体"/>
          <w:b/>
          <w:bCs/>
          <w:sz w:val="24"/>
          <w:szCs w:val="24"/>
          <w:highlight w:val="none"/>
        </w:rPr>
      </w:pPr>
      <w:bookmarkStart w:id="67" w:name="_Toc389586435"/>
      <w:r>
        <w:rPr>
          <w:rFonts w:hint="eastAsia" w:ascii="宋体" w:hAnsi="宋体" w:cs="宋体"/>
          <w:b/>
          <w:bCs/>
          <w:sz w:val="24"/>
          <w:szCs w:val="24"/>
          <w:highlight w:val="none"/>
        </w:rPr>
        <w:t>3.5 履约担保</w:t>
      </w:r>
      <w:bookmarkEnd w:id="67"/>
    </w:p>
    <w:p w14:paraId="4C569AD4">
      <w:pPr>
        <w:wordWrap w:val="0"/>
        <w:adjustRightInd w:val="0"/>
        <w:snapToGrid w:val="0"/>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rPr>
        <w:t>履约担保的方式：</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317E9726">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履约担保的金额：</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6079685E">
      <w:pPr>
        <w:wordWrap w:val="0"/>
        <w:adjustRightInd w:val="0"/>
        <w:snapToGrid w:val="0"/>
        <w:spacing w:line="500" w:lineRule="exact"/>
        <w:ind w:firstLine="480" w:firstLineChars="200"/>
        <w:jc w:val="left"/>
        <w:rPr>
          <w:rFonts w:hint="eastAsia" w:ascii="宋体" w:hAnsi="宋体" w:cs="宋体"/>
          <w:bCs/>
          <w:sz w:val="24"/>
          <w:szCs w:val="24"/>
          <w:highlight w:val="none"/>
        </w:rPr>
      </w:pPr>
      <w:r>
        <w:rPr>
          <w:rFonts w:hint="eastAsia" w:ascii="宋体" w:hAnsi="宋体" w:cs="宋体"/>
          <w:sz w:val="24"/>
          <w:szCs w:val="24"/>
          <w:highlight w:val="none"/>
        </w:rPr>
        <w:t>履约担保的期限：</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2CA5B6A4">
      <w:pPr>
        <w:spacing w:line="500" w:lineRule="exact"/>
        <w:ind w:firstLine="482" w:firstLineChars="200"/>
        <w:rPr>
          <w:rFonts w:hint="eastAsia" w:ascii="宋体" w:hAnsi="宋体" w:cs="宋体"/>
          <w:b/>
          <w:bCs/>
          <w:sz w:val="24"/>
          <w:szCs w:val="24"/>
          <w:highlight w:val="none"/>
        </w:rPr>
      </w:pPr>
      <w:bookmarkStart w:id="68" w:name="_Toc389586438"/>
      <w:r>
        <w:rPr>
          <w:rFonts w:hint="eastAsia" w:ascii="宋体" w:hAnsi="宋体" w:cs="宋体"/>
          <w:b/>
          <w:bCs/>
          <w:sz w:val="24"/>
          <w:szCs w:val="24"/>
          <w:highlight w:val="none"/>
        </w:rPr>
        <w:t>4. 安全文明施工、环境保护与劳动用工管理</w:t>
      </w:r>
      <w:bookmarkEnd w:id="68"/>
    </w:p>
    <w:p w14:paraId="6C5C78E8">
      <w:pPr>
        <w:spacing w:line="500" w:lineRule="exact"/>
        <w:ind w:firstLine="482" w:firstLineChars="200"/>
        <w:rPr>
          <w:rFonts w:hint="eastAsia" w:ascii="宋体" w:hAnsi="宋体" w:cs="宋体"/>
          <w:b/>
          <w:bCs/>
          <w:sz w:val="24"/>
          <w:szCs w:val="24"/>
          <w:highlight w:val="none"/>
        </w:rPr>
      </w:pPr>
      <w:bookmarkStart w:id="69" w:name="_Toc389586439"/>
      <w:r>
        <w:rPr>
          <w:rFonts w:hint="eastAsia" w:ascii="宋体" w:hAnsi="宋体" w:cs="宋体"/>
          <w:b/>
          <w:bCs/>
          <w:sz w:val="24"/>
          <w:szCs w:val="24"/>
          <w:highlight w:val="none"/>
        </w:rPr>
        <w:t>4.1 劳动用工管理</w:t>
      </w:r>
      <w:bookmarkEnd w:id="69"/>
    </w:p>
    <w:p w14:paraId="3297597D">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4.1.1 分包人雇佣的人员所需必要膳宿条件的提供方：</w:t>
      </w:r>
      <w:r>
        <w:rPr>
          <w:rFonts w:hint="eastAsia" w:ascii="宋体" w:hAnsi="宋体" w:cs="宋体"/>
          <w:sz w:val="24"/>
          <w:szCs w:val="24"/>
          <w:highlight w:val="none"/>
          <w:u w:val="single"/>
        </w:rPr>
        <w:t xml:space="preserve">   </w:t>
      </w:r>
      <w:r>
        <w:rPr>
          <w:rFonts w:hint="eastAsia" w:ascii="宋体" w:hAnsi="宋体" w:cs="宋体"/>
          <w:i/>
          <w:sz w:val="24"/>
          <w:szCs w:val="24"/>
          <w:highlight w:val="none"/>
          <w:u w:val="single"/>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7350D7F7">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承包人为分包人雇佣的人员提供必要膳宿条件的期限：</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7F7A0A79">
      <w:pPr>
        <w:wordWrap w:val="0"/>
        <w:adjustRightInd w:val="0"/>
        <w:snapToGrid w:val="0"/>
        <w:spacing w:line="500" w:lineRule="exact"/>
        <w:ind w:firstLine="480" w:firstLineChars="200"/>
        <w:jc w:val="left"/>
        <w:rPr>
          <w:rFonts w:hint="eastAsia" w:ascii="宋体" w:hAnsi="宋体" w:cs="宋体"/>
          <w:i/>
          <w:sz w:val="24"/>
          <w:szCs w:val="24"/>
          <w:highlight w:val="none"/>
          <w:u w:val="single"/>
        </w:rPr>
      </w:pPr>
      <w:r>
        <w:rPr>
          <w:rFonts w:hint="eastAsia" w:ascii="宋体" w:hAnsi="宋体" w:cs="宋体"/>
          <w:sz w:val="24"/>
          <w:szCs w:val="24"/>
          <w:highlight w:val="none"/>
        </w:rPr>
        <w:t>4.1.2 分包人必须及时足额支付其雇佣人员的劳动报酬或劳务分包单位的劳务费用，分包人不得拖欠克扣。如因此引起纠纷、上访等，由分包人负责协调处理。分包人应每月底向承包人项目经理提交施工人员工资明细表，承包人予以备案。分包人拖欠其雇佣人员的劳动报酬或劳务分包单位的劳务费用应承担的违约责任：</w:t>
      </w:r>
      <w:r>
        <w:rPr>
          <w:rFonts w:hint="eastAsia" w:ascii="宋体" w:hAnsi="宋体" w:cs="宋体"/>
          <w:sz w:val="24"/>
          <w:szCs w:val="24"/>
          <w:highlight w:val="none"/>
          <w:u w:val="single"/>
        </w:rPr>
        <w:t>承包人有权从次月进度款中按分包人备案于承包人处的劳动合同进行直接扣除相应款项，用于支付农民工工资。因此给承包人造成严重不良社会影响的，承包人对分包人予以处罚3万元罚款，并将分包人列入不合格分包人名单，承包人不再与其合作。</w:t>
      </w:r>
    </w:p>
    <w:p w14:paraId="07F0CBF5">
      <w:pPr>
        <w:spacing w:line="500" w:lineRule="exact"/>
        <w:ind w:firstLine="482" w:firstLineChars="200"/>
        <w:rPr>
          <w:rFonts w:hint="eastAsia" w:ascii="宋体" w:hAnsi="宋体" w:cs="宋体"/>
          <w:b/>
          <w:bCs/>
          <w:sz w:val="24"/>
          <w:szCs w:val="24"/>
          <w:highlight w:val="none"/>
        </w:rPr>
      </w:pPr>
      <w:bookmarkStart w:id="70" w:name="_Toc389586440"/>
      <w:r>
        <w:rPr>
          <w:rFonts w:hint="eastAsia" w:ascii="宋体" w:hAnsi="宋体" w:cs="宋体"/>
          <w:b/>
          <w:bCs/>
          <w:sz w:val="24"/>
          <w:szCs w:val="24"/>
          <w:highlight w:val="none"/>
        </w:rPr>
        <w:t>5. 工期和进度</w:t>
      </w:r>
      <w:bookmarkEnd w:id="70"/>
    </w:p>
    <w:p w14:paraId="3BCD1D31">
      <w:pPr>
        <w:spacing w:line="500" w:lineRule="exact"/>
        <w:ind w:firstLine="482" w:firstLineChars="200"/>
        <w:rPr>
          <w:rFonts w:hint="eastAsia" w:ascii="宋体" w:hAnsi="宋体" w:cs="宋体"/>
          <w:b/>
          <w:bCs/>
          <w:sz w:val="24"/>
          <w:szCs w:val="24"/>
          <w:highlight w:val="none"/>
        </w:rPr>
      </w:pPr>
      <w:bookmarkStart w:id="71" w:name="_Toc389586441"/>
      <w:r>
        <w:rPr>
          <w:rFonts w:hint="eastAsia" w:ascii="宋体" w:hAnsi="宋体" w:cs="宋体"/>
          <w:b/>
          <w:bCs/>
          <w:sz w:val="24"/>
          <w:szCs w:val="24"/>
          <w:highlight w:val="none"/>
        </w:rPr>
        <w:t>5.1 施工组织</w:t>
      </w:r>
      <w:bookmarkEnd w:id="71"/>
    </w:p>
    <w:p w14:paraId="46E5BA91">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5.1.1 施工组织设计的编制和批准</w:t>
      </w:r>
    </w:p>
    <w:p w14:paraId="76331760">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分包人提交详细施工组织设计的期限：</w:t>
      </w:r>
      <w:r>
        <w:rPr>
          <w:rFonts w:hint="eastAsia" w:ascii="宋体" w:hAnsi="宋体" w:cs="宋体"/>
          <w:sz w:val="24"/>
          <w:szCs w:val="24"/>
          <w:highlight w:val="none"/>
          <w:u w:val="single"/>
        </w:rPr>
        <w:t xml:space="preserve">  实际开工日期前7天</w:t>
      </w:r>
      <w:r>
        <w:rPr>
          <w:rFonts w:hint="eastAsia" w:ascii="宋体" w:hAnsi="宋体" w:cs="宋体"/>
          <w:kern w:val="0"/>
          <w:sz w:val="24"/>
          <w:szCs w:val="24"/>
          <w:highlight w:val="none"/>
          <w:u w:val="single"/>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2114C1C0">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承包人对分包人施工组织设计进行确认或提出修改意见的期限：</w:t>
      </w:r>
      <w:r>
        <w:rPr>
          <w:rFonts w:hint="eastAsia" w:ascii="宋体" w:hAnsi="宋体" w:cs="宋体"/>
          <w:sz w:val="24"/>
          <w:szCs w:val="24"/>
          <w:highlight w:val="none"/>
          <w:u w:val="single"/>
        </w:rPr>
        <w:t xml:space="preserve">  </w:t>
      </w:r>
      <w:r>
        <w:rPr>
          <w:rFonts w:hint="eastAsia" w:ascii="宋体" w:hAnsi="宋体" w:cs="宋体"/>
          <w:kern w:val="0"/>
          <w:sz w:val="24"/>
          <w:szCs w:val="24"/>
          <w:highlight w:val="none"/>
          <w:u w:val="single"/>
        </w:rPr>
        <w:t>收到施工组织设计后7天内确认或提出修改意见</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3459B09A">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分包人未按时提交详细施工组织设计的违约责任：</w:t>
      </w:r>
      <w:r>
        <w:rPr>
          <w:rFonts w:hint="eastAsia" w:ascii="宋体" w:hAnsi="宋体" w:cs="宋体"/>
          <w:sz w:val="24"/>
          <w:szCs w:val="24"/>
          <w:highlight w:val="none"/>
          <w:u w:val="single"/>
        </w:rPr>
        <w:t xml:space="preserve">  每延误一天，分包人承担签约合同价万分之一的违约金；连续延误超过10天， 承包人可单方解除合同，且分包人应向承包人支付签约合同价5%的违约金。</w:t>
      </w:r>
    </w:p>
    <w:p w14:paraId="6FD8D338">
      <w:pPr>
        <w:wordWrap w:val="0"/>
        <w:adjustRightInd w:val="0"/>
        <w:snapToGrid w:val="0"/>
        <w:spacing w:line="500" w:lineRule="exact"/>
        <w:ind w:firstLine="480" w:firstLineChars="200"/>
        <w:jc w:val="left"/>
        <w:rPr>
          <w:rFonts w:hint="eastAsia" w:ascii="宋体" w:hAnsi="宋体" w:cs="宋体"/>
          <w:kern w:val="0"/>
          <w:sz w:val="24"/>
          <w:szCs w:val="24"/>
          <w:highlight w:val="none"/>
        </w:rPr>
      </w:pPr>
      <w:r>
        <w:rPr>
          <w:rFonts w:hint="eastAsia" w:ascii="宋体" w:hAnsi="宋体" w:cs="宋体"/>
          <w:sz w:val="24"/>
          <w:szCs w:val="24"/>
          <w:highlight w:val="none"/>
        </w:rPr>
        <w:t>承包人对施工组织设计</w:t>
      </w:r>
      <w:r>
        <w:rPr>
          <w:rFonts w:hint="eastAsia" w:ascii="宋体" w:hAnsi="宋体" w:cs="宋体"/>
          <w:kern w:val="0"/>
          <w:sz w:val="24"/>
          <w:szCs w:val="24"/>
          <w:highlight w:val="none"/>
        </w:rPr>
        <w:t>未按时确认且未提出修改意见的违约责任：</w:t>
      </w:r>
      <w:r>
        <w:rPr>
          <w:rFonts w:hint="eastAsia" w:ascii="宋体" w:hAnsi="宋体" w:cs="宋体"/>
          <w:kern w:val="0"/>
          <w:sz w:val="24"/>
          <w:szCs w:val="24"/>
          <w:highlight w:val="none"/>
          <w:u w:val="single"/>
        </w:rPr>
        <w:t xml:space="preserve">  视为承包人对收到的施工组织设计认可  </w:t>
      </w:r>
      <w:r>
        <w:rPr>
          <w:rFonts w:hint="eastAsia" w:ascii="宋体" w:hAnsi="宋体" w:cs="宋体"/>
          <w:kern w:val="0"/>
          <w:sz w:val="24"/>
          <w:szCs w:val="24"/>
          <w:highlight w:val="none"/>
        </w:rPr>
        <w:t>。</w:t>
      </w:r>
    </w:p>
    <w:p w14:paraId="6C2BEBED">
      <w:pPr>
        <w:wordWrap w:val="0"/>
        <w:adjustRightInd w:val="0"/>
        <w:snapToGrid w:val="0"/>
        <w:spacing w:line="500" w:lineRule="exact"/>
        <w:ind w:firstLine="480"/>
        <w:jc w:val="left"/>
        <w:rPr>
          <w:rFonts w:hint="eastAsia" w:ascii="宋体" w:hAnsi="宋体" w:cs="宋体"/>
          <w:kern w:val="0"/>
          <w:sz w:val="24"/>
          <w:szCs w:val="24"/>
          <w:highlight w:val="none"/>
        </w:rPr>
      </w:pPr>
      <w:r>
        <w:rPr>
          <w:rFonts w:hint="eastAsia" w:ascii="宋体" w:hAnsi="宋体" w:cs="宋体"/>
          <w:kern w:val="0"/>
          <w:sz w:val="24"/>
          <w:szCs w:val="24"/>
          <w:highlight w:val="none"/>
        </w:rPr>
        <w:t>5.1.2 劳动力保障</w:t>
      </w:r>
    </w:p>
    <w:p w14:paraId="6C06C22E">
      <w:pPr>
        <w:spacing w:line="500" w:lineRule="exact"/>
        <w:ind w:firstLine="480" w:firstLineChars="200"/>
        <w:rPr>
          <w:rFonts w:hint="eastAsia" w:ascii="宋体" w:hAnsi="宋体" w:cs="宋体"/>
          <w:sz w:val="24"/>
          <w:szCs w:val="24"/>
          <w:highlight w:val="none"/>
          <w:u w:val="single"/>
        </w:rPr>
      </w:pPr>
      <w:r>
        <w:rPr>
          <w:rFonts w:hint="eastAsia" w:ascii="宋体" w:hAnsi="宋体" w:cs="宋体"/>
          <w:kern w:val="0"/>
          <w:sz w:val="24"/>
          <w:szCs w:val="24"/>
          <w:highlight w:val="none"/>
        </w:rPr>
        <w:t>分包人未按时补足劳动力的违约责任：</w:t>
      </w:r>
      <w:r>
        <w:rPr>
          <w:rFonts w:hint="eastAsia" w:ascii="宋体" w:hAnsi="宋体" w:cs="宋体"/>
          <w:kern w:val="0"/>
          <w:sz w:val="24"/>
          <w:szCs w:val="24"/>
          <w:highlight w:val="none"/>
          <w:u w:val="single"/>
        </w:rPr>
        <w:t>分包人应在收到承包人书面通知后7日内补足劳动力，且</w:t>
      </w:r>
      <w:r>
        <w:rPr>
          <w:rFonts w:hint="eastAsia" w:ascii="宋体" w:hAnsi="宋体" w:cs="宋体"/>
          <w:sz w:val="24"/>
          <w:szCs w:val="24"/>
          <w:highlight w:val="none"/>
          <w:u w:val="single"/>
        </w:rPr>
        <w:t>分包人应当向承包人支付违约金500 元/天/人；分包人减员人数不得超过施工所需总人数的3%，如超过3%，承包人不给分包人办理相关手续，该分包人即被承包人列入不合格分包人名单，不再与其合作。</w:t>
      </w:r>
    </w:p>
    <w:p w14:paraId="5A544BE1">
      <w:pPr>
        <w:spacing w:line="500" w:lineRule="exact"/>
        <w:ind w:firstLine="482" w:firstLineChars="200"/>
        <w:rPr>
          <w:rFonts w:hint="eastAsia" w:ascii="宋体" w:hAnsi="宋体" w:cs="宋体"/>
          <w:b/>
          <w:bCs/>
          <w:sz w:val="24"/>
          <w:szCs w:val="24"/>
          <w:highlight w:val="none"/>
        </w:rPr>
      </w:pPr>
      <w:bookmarkStart w:id="72" w:name="_Toc389586443"/>
      <w:r>
        <w:rPr>
          <w:rFonts w:hint="eastAsia" w:ascii="宋体" w:hAnsi="宋体" w:cs="宋体"/>
          <w:b/>
          <w:bCs/>
          <w:sz w:val="24"/>
          <w:szCs w:val="24"/>
          <w:highlight w:val="none"/>
        </w:rPr>
        <w:t>5.2 测量放线</w:t>
      </w:r>
      <w:bookmarkEnd w:id="72"/>
    </w:p>
    <w:p w14:paraId="6EEFE99A">
      <w:pPr>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5.2.1 承包人提供测量基准点、基准线和水准点及其书面资料的期限：</w:t>
      </w:r>
      <w:r>
        <w:rPr>
          <w:rFonts w:hint="eastAsia" w:ascii="宋体" w:hAnsi="宋体" w:cs="宋体"/>
          <w:kern w:val="0"/>
          <w:sz w:val="24"/>
          <w:szCs w:val="24"/>
          <w:highlight w:val="none"/>
          <w:u w:val="single"/>
        </w:rPr>
        <w:t>实际开工日期3天前</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04E1A43F">
      <w:pPr>
        <w:spacing w:line="500" w:lineRule="exact"/>
        <w:ind w:firstLine="482" w:firstLineChars="200"/>
        <w:rPr>
          <w:rFonts w:hint="eastAsia" w:ascii="宋体" w:hAnsi="宋体" w:cs="宋体"/>
          <w:b/>
          <w:bCs/>
          <w:sz w:val="24"/>
          <w:szCs w:val="24"/>
          <w:highlight w:val="none"/>
        </w:rPr>
      </w:pPr>
      <w:bookmarkStart w:id="73" w:name="_Toc389586444"/>
      <w:r>
        <w:rPr>
          <w:rFonts w:hint="eastAsia" w:ascii="宋体" w:hAnsi="宋体" w:cs="宋体"/>
          <w:b/>
          <w:bCs/>
          <w:sz w:val="24"/>
          <w:szCs w:val="24"/>
          <w:highlight w:val="none"/>
        </w:rPr>
        <w:t>5.3 工期延误</w:t>
      </w:r>
      <w:bookmarkEnd w:id="73"/>
    </w:p>
    <w:p w14:paraId="5F66BC8F">
      <w:pPr>
        <w:wordWrap w:val="0"/>
        <w:autoSpaceDE w:val="0"/>
        <w:autoSpaceDN w:val="0"/>
        <w:adjustRightInd w:val="0"/>
        <w:snapToGrid w:val="0"/>
        <w:spacing w:line="500" w:lineRule="exact"/>
        <w:ind w:firstLine="480" w:firstLineChars="200"/>
        <w:jc w:val="left"/>
        <w:rPr>
          <w:rFonts w:hint="eastAsia" w:ascii="宋体" w:hAnsi="宋体" w:cs="宋体"/>
          <w:kern w:val="0"/>
          <w:sz w:val="24"/>
          <w:szCs w:val="24"/>
          <w:highlight w:val="none"/>
          <w:u w:val="single"/>
        </w:rPr>
      </w:pPr>
      <w:r>
        <w:rPr>
          <w:rFonts w:hint="eastAsia" w:ascii="宋体" w:hAnsi="宋体" w:cs="宋体"/>
          <w:sz w:val="24"/>
          <w:szCs w:val="24"/>
          <w:highlight w:val="none"/>
        </w:rPr>
        <w:t>5.3.1 因分包人原因造成工期延误，分包人应承担的逾期完工违约责任：</w:t>
      </w:r>
      <w:r>
        <w:rPr>
          <w:rFonts w:hint="eastAsia" w:ascii="宋体" w:hAnsi="宋体" w:cs="宋体"/>
          <w:sz w:val="24"/>
          <w:szCs w:val="24"/>
          <w:highlight w:val="none"/>
          <w:u w:val="single"/>
        </w:rPr>
        <w:t>每延误一天分包人承担签约合同总价万分之一的违约金。连续延误超过10天，加倍处罚，全年累计延误时间超过30天及以上的，承包人有权在应支付分包人工程进度款中扣除分包人应支付的违约金为决算金额的1%。</w:t>
      </w:r>
      <w:r>
        <w:rPr>
          <w:rFonts w:hint="eastAsia" w:ascii="宋体" w:hAnsi="宋体" w:cs="宋体"/>
          <w:kern w:val="0"/>
          <w:sz w:val="24"/>
          <w:szCs w:val="24"/>
          <w:highlight w:val="none"/>
          <w:u w:val="single"/>
        </w:rPr>
        <w:t>分包人支付逾期完工违约金后，不免除或减轻分包人继续完成工程及修补缺陷的义务。</w:t>
      </w:r>
    </w:p>
    <w:p w14:paraId="035C9238">
      <w:pPr>
        <w:spacing w:line="500" w:lineRule="exact"/>
        <w:ind w:firstLine="482" w:firstLineChars="200"/>
        <w:rPr>
          <w:rFonts w:hint="eastAsia" w:ascii="宋体" w:hAnsi="宋体" w:cs="宋体"/>
          <w:b/>
          <w:bCs/>
          <w:sz w:val="24"/>
          <w:szCs w:val="24"/>
          <w:highlight w:val="none"/>
        </w:rPr>
      </w:pPr>
      <w:bookmarkStart w:id="74" w:name="_Toc389586445"/>
      <w:r>
        <w:rPr>
          <w:rFonts w:hint="eastAsia" w:ascii="宋体" w:hAnsi="宋体" w:cs="宋体"/>
          <w:b/>
          <w:bCs/>
          <w:sz w:val="24"/>
          <w:szCs w:val="24"/>
          <w:highlight w:val="none"/>
        </w:rPr>
        <w:t>5.4 不利物质条件</w:t>
      </w:r>
      <w:bookmarkEnd w:id="74"/>
    </w:p>
    <w:p w14:paraId="116220C6">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不利物质条件的其他情形：</w:t>
      </w:r>
      <w:r>
        <w:rPr>
          <w:rFonts w:hint="eastAsia" w:ascii="宋体" w:hAnsi="宋体" w:cs="宋体"/>
          <w:sz w:val="24"/>
          <w:szCs w:val="24"/>
          <w:highlight w:val="none"/>
          <w:u w:val="single"/>
        </w:rPr>
        <w:t xml:space="preserve">  执行通用合同条款   </w:t>
      </w:r>
      <w:r>
        <w:rPr>
          <w:rFonts w:hint="eastAsia" w:ascii="宋体" w:hAnsi="宋体" w:cs="宋体"/>
          <w:sz w:val="24"/>
          <w:szCs w:val="24"/>
          <w:highlight w:val="none"/>
        </w:rPr>
        <w:t>。</w:t>
      </w:r>
    </w:p>
    <w:p w14:paraId="7C9008C5">
      <w:pPr>
        <w:spacing w:line="500" w:lineRule="exact"/>
        <w:ind w:firstLine="482" w:firstLineChars="200"/>
        <w:rPr>
          <w:rFonts w:hint="eastAsia" w:ascii="宋体" w:hAnsi="宋体" w:cs="宋体"/>
          <w:b/>
          <w:bCs/>
          <w:sz w:val="24"/>
          <w:szCs w:val="24"/>
          <w:highlight w:val="none"/>
        </w:rPr>
      </w:pPr>
      <w:bookmarkStart w:id="75" w:name="_Toc389586446"/>
      <w:r>
        <w:rPr>
          <w:rFonts w:hint="eastAsia" w:ascii="宋体" w:hAnsi="宋体" w:cs="宋体"/>
          <w:b/>
          <w:bCs/>
          <w:sz w:val="24"/>
          <w:szCs w:val="24"/>
          <w:highlight w:val="none"/>
        </w:rPr>
        <w:t>5.5 异常恶劣的气候条件</w:t>
      </w:r>
      <w:bookmarkEnd w:id="75"/>
    </w:p>
    <w:p w14:paraId="3CAD5A4A">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异常恶劣的气候条件包括：</w:t>
      </w:r>
      <w:r>
        <w:rPr>
          <w:rFonts w:hint="eastAsia" w:ascii="宋体" w:hAnsi="宋体" w:cs="宋体"/>
          <w:sz w:val="24"/>
          <w:szCs w:val="24"/>
          <w:highlight w:val="none"/>
          <w:u w:val="single"/>
        </w:rPr>
        <w:t xml:space="preserve">   执行通用合同条款    </w:t>
      </w:r>
      <w:r>
        <w:rPr>
          <w:rFonts w:hint="eastAsia" w:ascii="宋体" w:hAnsi="宋体" w:cs="宋体"/>
          <w:sz w:val="24"/>
          <w:szCs w:val="24"/>
          <w:highlight w:val="none"/>
        </w:rPr>
        <w:t>。</w:t>
      </w:r>
    </w:p>
    <w:p w14:paraId="616D91F0">
      <w:pPr>
        <w:spacing w:line="500" w:lineRule="exact"/>
        <w:ind w:firstLine="482" w:firstLineChars="200"/>
        <w:rPr>
          <w:rFonts w:hint="eastAsia" w:ascii="宋体" w:hAnsi="宋体" w:cs="宋体"/>
          <w:b/>
          <w:bCs/>
          <w:sz w:val="24"/>
          <w:szCs w:val="24"/>
          <w:highlight w:val="none"/>
        </w:rPr>
      </w:pPr>
      <w:bookmarkStart w:id="76" w:name="_Toc389586447"/>
      <w:r>
        <w:rPr>
          <w:rFonts w:hint="eastAsia" w:ascii="宋体" w:hAnsi="宋体" w:cs="宋体"/>
          <w:b/>
          <w:bCs/>
          <w:sz w:val="24"/>
          <w:szCs w:val="24"/>
          <w:highlight w:val="none"/>
        </w:rPr>
        <w:t>6. 材料与设备</w:t>
      </w:r>
      <w:bookmarkEnd w:id="76"/>
    </w:p>
    <w:p w14:paraId="438481D9">
      <w:pPr>
        <w:spacing w:line="500" w:lineRule="exact"/>
        <w:ind w:firstLine="482" w:firstLineChars="200"/>
        <w:rPr>
          <w:rFonts w:hint="eastAsia" w:ascii="宋体" w:hAnsi="宋体" w:cs="宋体"/>
          <w:b/>
          <w:bCs/>
          <w:sz w:val="24"/>
          <w:szCs w:val="24"/>
          <w:highlight w:val="none"/>
        </w:rPr>
      </w:pPr>
      <w:bookmarkStart w:id="77" w:name="_Toc389586448"/>
      <w:r>
        <w:rPr>
          <w:rFonts w:hint="eastAsia" w:ascii="宋体" w:hAnsi="宋体" w:cs="宋体"/>
          <w:b/>
          <w:bCs/>
          <w:sz w:val="24"/>
          <w:szCs w:val="24"/>
          <w:highlight w:val="none"/>
        </w:rPr>
        <w:t>6.1 承包人供应材料与工程设备</w:t>
      </w:r>
      <w:bookmarkEnd w:id="77"/>
    </w:p>
    <w:p w14:paraId="4D763D9E">
      <w:pPr>
        <w:wordWrap w:val="0"/>
        <w:adjustRightInd w:val="0"/>
        <w:snapToGrid w:val="0"/>
        <w:spacing w:line="500" w:lineRule="exact"/>
        <w:ind w:firstLine="480"/>
        <w:jc w:val="left"/>
        <w:rPr>
          <w:rFonts w:hint="eastAsia" w:ascii="宋体" w:hAnsi="宋体" w:cs="宋体"/>
          <w:sz w:val="24"/>
          <w:szCs w:val="24"/>
          <w:highlight w:val="none"/>
        </w:rPr>
      </w:pPr>
      <w:r>
        <w:rPr>
          <w:rFonts w:hint="eastAsia" w:ascii="宋体" w:hAnsi="宋体" w:cs="宋体"/>
          <w:sz w:val="24"/>
          <w:szCs w:val="24"/>
          <w:highlight w:val="none"/>
        </w:rPr>
        <w:t>6.1.1 承包人供应材料和工程设备的损耗率：</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4C26C3CB">
      <w:pPr>
        <w:wordWrap w:val="0"/>
        <w:adjustRightInd w:val="0"/>
        <w:snapToGrid w:val="0"/>
        <w:spacing w:line="500" w:lineRule="exact"/>
        <w:ind w:firstLine="480"/>
        <w:jc w:val="left"/>
        <w:rPr>
          <w:rFonts w:hint="eastAsia" w:ascii="宋体" w:hAnsi="宋体" w:cs="宋体"/>
          <w:sz w:val="24"/>
          <w:szCs w:val="24"/>
          <w:highlight w:val="none"/>
        </w:rPr>
      </w:pPr>
      <w:r>
        <w:rPr>
          <w:rFonts w:hint="eastAsia" w:ascii="宋体" w:hAnsi="宋体" w:cs="宋体"/>
          <w:sz w:val="24"/>
          <w:szCs w:val="24"/>
          <w:highlight w:val="none"/>
        </w:rPr>
        <w:t>6.1.2 分包人通知承包人材料、工程设备进场时间的期限：</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06322415">
      <w:pPr>
        <w:wordWrap w:val="0"/>
        <w:adjustRightInd w:val="0"/>
        <w:snapToGrid w:val="0"/>
        <w:spacing w:line="500" w:lineRule="exact"/>
        <w:ind w:firstLine="482"/>
        <w:jc w:val="left"/>
        <w:outlineLvl w:val="2"/>
        <w:rPr>
          <w:rFonts w:hint="eastAsia" w:ascii="宋体" w:hAnsi="宋体" w:cs="宋体"/>
          <w:b/>
          <w:bCs/>
          <w:sz w:val="24"/>
          <w:szCs w:val="24"/>
          <w:highlight w:val="none"/>
        </w:rPr>
      </w:pPr>
      <w:bookmarkStart w:id="78" w:name="_Toc389586449"/>
      <w:r>
        <w:rPr>
          <w:rFonts w:hint="eastAsia" w:ascii="宋体" w:hAnsi="宋体" w:cs="宋体"/>
          <w:b/>
          <w:sz w:val="24"/>
          <w:szCs w:val="24"/>
          <w:highlight w:val="none"/>
        </w:rPr>
        <w:t xml:space="preserve">  </w:t>
      </w:r>
      <w:r>
        <w:rPr>
          <w:rFonts w:hint="eastAsia" w:ascii="宋体" w:hAnsi="宋体" w:cs="宋体"/>
          <w:b/>
          <w:bCs/>
          <w:sz w:val="24"/>
          <w:szCs w:val="24"/>
          <w:highlight w:val="none"/>
        </w:rPr>
        <w:t xml:space="preserve">  6.2 分包人供应材料与工程设备</w:t>
      </w:r>
      <w:bookmarkEnd w:id="78"/>
    </w:p>
    <w:p w14:paraId="4C9EEB3B">
      <w:pPr>
        <w:wordWrap w:val="0"/>
        <w:adjustRightInd w:val="0"/>
        <w:snapToGrid w:val="0"/>
        <w:spacing w:line="500" w:lineRule="exact"/>
        <w:ind w:firstLine="480"/>
        <w:jc w:val="left"/>
        <w:rPr>
          <w:rFonts w:hint="eastAsia" w:ascii="宋体" w:hAnsi="宋体" w:cs="宋体"/>
          <w:sz w:val="24"/>
          <w:szCs w:val="24"/>
          <w:highlight w:val="none"/>
          <w:u w:val="single"/>
        </w:rPr>
      </w:pPr>
      <w:r>
        <w:rPr>
          <w:rFonts w:hint="eastAsia" w:ascii="宋体" w:hAnsi="宋体" w:cs="宋体"/>
          <w:sz w:val="24"/>
          <w:szCs w:val="24"/>
          <w:highlight w:val="none"/>
        </w:rPr>
        <w:t>6.2.1承包人指定生产厂家或供应商时应承担的违约责任：</w:t>
      </w:r>
      <w:r>
        <w:rPr>
          <w:rFonts w:hint="eastAsia" w:ascii="宋体" w:hAnsi="宋体" w:cs="宋体"/>
          <w:sz w:val="24"/>
          <w:szCs w:val="24"/>
          <w:highlight w:val="none"/>
          <w:u w:val="single"/>
        </w:rPr>
        <w:t xml:space="preserve">分包人有权拒绝 </w:t>
      </w:r>
      <w:r>
        <w:rPr>
          <w:rFonts w:hint="eastAsia" w:ascii="宋体" w:hAnsi="宋体" w:cs="宋体"/>
          <w:sz w:val="24"/>
          <w:szCs w:val="24"/>
          <w:highlight w:val="none"/>
        </w:rPr>
        <w:t>。</w:t>
      </w:r>
    </w:p>
    <w:p w14:paraId="07B319B8">
      <w:pPr>
        <w:spacing w:line="500" w:lineRule="exact"/>
        <w:ind w:firstLine="482" w:firstLineChars="200"/>
        <w:rPr>
          <w:rFonts w:hint="eastAsia" w:ascii="宋体" w:hAnsi="宋体" w:cs="宋体"/>
          <w:b/>
          <w:bCs/>
          <w:sz w:val="24"/>
          <w:szCs w:val="24"/>
          <w:highlight w:val="none"/>
        </w:rPr>
      </w:pPr>
      <w:bookmarkStart w:id="79" w:name="_Toc389586450"/>
      <w:r>
        <w:rPr>
          <w:rFonts w:hint="eastAsia" w:ascii="宋体" w:hAnsi="宋体" w:cs="宋体"/>
          <w:b/>
          <w:bCs/>
          <w:sz w:val="24"/>
          <w:szCs w:val="24"/>
          <w:highlight w:val="none"/>
        </w:rPr>
        <w:t>6.3 样品</w:t>
      </w:r>
      <w:bookmarkEnd w:id="79"/>
    </w:p>
    <w:p w14:paraId="7CEE4ECE">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需要分包人报送样品的材料或工程设备，样品的种类、名称、规格、数量要求：</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5D52200F">
      <w:pPr>
        <w:spacing w:line="500" w:lineRule="exact"/>
        <w:ind w:firstLine="482" w:firstLineChars="200"/>
        <w:rPr>
          <w:rFonts w:hint="eastAsia" w:ascii="宋体" w:hAnsi="宋体" w:cs="宋体"/>
          <w:b/>
          <w:bCs/>
          <w:sz w:val="24"/>
          <w:szCs w:val="24"/>
          <w:highlight w:val="none"/>
        </w:rPr>
      </w:pPr>
      <w:bookmarkStart w:id="80" w:name="_Toc389586451"/>
      <w:r>
        <w:rPr>
          <w:rFonts w:hint="eastAsia" w:ascii="宋体" w:hAnsi="宋体" w:cs="宋体"/>
          <w:b/>
          <w:bCs/>
          <w:sz w:val="24"/>
          <w:szCs w:val="24"/>
          <w:highlight w:val="none"/>
        </w:rPr>
        <w:t>6.4 材料与工程设备的替代</w:t>
      </w:r>
      <w:bookmarkEnd w:id="80"/>
    </w:p>
    <w:p w14:paraId="32A4B698">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kern w:val="0"/>
          <w:sz w:val="24"/>
          <w:szCs w:val="24"/>
          <w:highlight w:val="none"/>
        </w:rPr>
        <w:t>关于材料与工程设备替代的约定：</w:t>
      </w:r>
      <w:r>
        <w:rPr>
          <w:rFonts w:hint="eastAsia" w:ascii="宋体" w:hAnsi="宋体" w:cs="宋体"/>
          <w:kern w:val="0"/>
          <w:sz w:val="24"/>
          <w:szCs w:val="24"/>
          <w:highlight w:val="none"/>
          <w:u w:val="single"/>
        </w:rPr>
        <w:t xml:space="preserve">   按总包合同约定执行   </w:t>
      </w:r>
      <w:r>
        <w:rPr>
          <w:rFonts w:hint="eastAsia" w:ascii="宋体" w:hAnsi="宋体" w:cs="宋体"/>
          <w:kern w:val="0"/>
          <w:sz w:val="24"/>
          <w:szCs w:val="24"/>
          <w:highlight w:val="none"/>
        </w:rPr>
        <w:t>。</w:t>
      </w:r>
    </w:p>
    <w:p w14:paraId="73FDA235">
      <w:pPr>
        <w:spacing w:line="500" w:lineRule="exact"/>
        <w:ind w:firstLine="482" w:firstLineChars="200"/>
        <w:rPr>
          <w:rFonts w:hint="eastAsia" w:ascii="宋体" w:hAnsi="宋体" w:cs="宋体"/>
          <w:b/>
          <w:bCs/>
          <w:sz w:val="24"/>
          <w:szCs w:val="24"/>
          <w:highlight w:val="none"/>
        </w:rPr>
      </w:pPr>
      <w:bookmarkStart w:id="81" w:name="_Toc389586452"/>
      <w:r>
        <w:rPr>
          <w:rFonts w:hint="eastAsia" w:ascii="宋体" w:hAnsi="宋体" w:cs="宋体"/>
          <w:b/>
          <w:bCs/>
          <w:sz w:val="24"/>
          <w:szCs w:val="24"/>
          <w:highlight w:val="none"/>
        </w:rPr>
        <w:t>6.5 施工设备和临时设施</w:t>
      </w:r>
      <w:bookmarkEnd w:id="81"/>
    </w:p>
    <w:p w14:paraId="6444C5E9">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6.5.1 承包人提供的施工设备和临时设施包括：</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3D6962D2">
      <w:pPr>
        <w:spacing w:line="500" w:lineRule="exact"/>
        <w:ind w:firstLine="482" w:firstLineChars="200"/>
        <w:rPr>
          <w:rFonts w:hint="eastAsia" w:ascii="宋体" w:hAnsi="宋体" w:cs="宋体"/>
          <w:b/>
          <w:bCs/>
          <w:sz w:val="24"/>
          <w:szCs w:val="24"/>
          <w:highlight w:val="none"/>
        </w:rPr>
      </w:pPr>
      <w:bookmarkStart w:id="82" w:name="_Toc389586453"/>
      <w:r>
        <w:rPr>
          <w:rFonts w:hint="eastAsia" w:ascii="宋体" w:hAnsi="宋体" w:cs="宋体"/>
          <w:b/>
          <w:bCs/>
          <w:sz w:val="24"/>
          <w:szCs w:val="24"/>
          <w:highlight w:val="none"/>
        </w:rPr>
        <w:t>7. 试验和检验</w:t>
      </w:r>
      <w:bookmarkEnd w:id="82"/>
      <w:r>
        <w:rPr>
          <w:rFonts w:hint="eastAsia" w:ascii="宋体" w:hAnsi="宋体" w:cs="宋体"/>
          <w:b/>
          <w:bCs/>
          <w:sz w:val="24"/>
          <w:szCs w:val="24"/>
          <w:highlight w:val="none"/>
        </w:rPr>
        <w:t xml:space="preserve"> </w:t>
      </w:r>
    </w:p>
    <w:p w14:paraId="0F00F0B4">
      <w:pPr>
        <w:wordWrap w:val="0"/>
        <w:adjustRightInd w:val="0"/>
        <w:snapToGrid w:val="0"/>
        <w:spacing w:line="500" w:lineRule="exact"/>
        <w:ind w:firstLine="480" w:firstLineChars="200"/>
        <w:jc w:val="left"/>
        <w:rPr>
          <w:rFonts w:hint="eastAsia" w:ascii="宋体" w:hAnsi="宋体" w:cs="宋体"/>
          <w:kern w:val="0"/>
          <w:sz w:val="24"/>
          <w:szCs w:val="24"/>
          <w:highlight w:val="none"/>
        </w:rPr>
      </w:pPr>
      <w:r>
        <w:rPr>
          <w:rFonts w:hint="eastAsia" w:ascii="宋体" w:hAnsi="宋体" w:cs="宋体"/>
          <w:kern w:val="0"/>
          <w:sz w:val="24"/>
          <w:szCs w:val="24"/>
          <w:highlight w:val="none"/>
        </w:rPr>
        <w:t>关于试验和检验的约定：</w:t>
      </w:r>
      <w:r>
        <w:rPr>
          <w:rFonts w:hint="eastAsia" w:ascii="宋体" w:hAnsi="宋体" w:cs="宋体"/>
          <w:kern w:val="0"/>
          <w:sz w:val="24"/>
          <w:szCs w:val="24"/>
          <w:highlight w:val="none"/>
          <w:u w:val="single"/>
        </w:rPr>
        <w:t xml:space="preserve">  按总包合同的约定进行  </w:t>
      </w:r>
      <w:r>
        <w:rPr>
          <w:rFonts w:hint="eastAsia" w:ascii="宋体" w:hAnsi="宋体" w:cs="宋体"/>
          <w:kern w:val="0"/>
          <w:sz w:val="24"/>
          <w:szCs w:val="24"/>
          <w:highlight w:val="none"/>
        </w:rPr>
        <w:t>。</w:t>
      </w:r>
    </w:p>
    <w:p w14:paraId="321ED7C6">
      <w:pPr>
        <w:spacing w:line="500" w:lineRule="exact"/>
        <w:ind w:firstLine="482" w:firstLineChars="200"/>
        <w:rPr>
          <w:rFonts w:hint="eastAsia" w:ascii="宋体" w:hAnsi="宋体" w:cs="宋体"/>
          <w:b/>
          <w:bCs/>
          <w:sz w:val="24"/>
          <w:szCs w:val="24"/>
          <w:highlight w:val="none"/>
        </w:rPr>
      </w:pPr>
      <w:bookmarkStart w:id="83" w:name="_Toc389586454"/>
      <w:r>
        <w:rPr>
          <w:rFonts w:hint="eastAsia" w:ascii="宋体" w:hAnsi="宋体" w:cs="宋体"/>
          <w:b/>
          <w:bCs/>
          <w:sz w:val="24"/>
          <w:szCs w:val="24"/>
          <w:highlight w:val="none"/>
        </w:rPr>
        <w:t>8. 分包合同变更</w:t>
      </w:r>
      <w:bookmarkEnd w:id="83"/>
    </w:p>
    <w:p w14:paraId="64488B1D">
      <w:pPr>
        <w:spacing w:line="500" w:lineRule="exact"/>
        <w:ind w:firstLine="482" w:firstLineChars="200"/>
        <w:rPr>
          <w:rFonts w:hint="eastAsia" w:ascii="宋体" w:hAnsi="宋体" w:cs="宋体"/>
          <w:b/>
          <w:bCs/>
          <w:sz w:val="24"/>
          <w:szCs w:val="24"/>
          <w:highlight w:val="none"/>
        </w:rPr>
      </w:pPr>
      <w:bookmarkStart w:id="84" w:name="_Toc389586455"/>
      <w:r>
        <w:rPr>
          <w:rFonts w:hint="eastAsia" w:ascii="宋体" w:hAnsi="宋体" w:cs="宋体"/>
          <w:b/>
          <w:bCs/>
          <w:sz w:val="24"/>
          <w:szCs w:val="24"/>
          <w:highlight w:val="none"/>
        </w:rPr>
        <w:t>8.1 分包合同变更的范围</w:t>
      </w:r>
      <w:bookmarkEnd w:id="84"/>
    </w:p>
    <w:p w14:paraId="4E0DBC9D">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关于分包合同变更范围的约定：</w:t>
      </w:r>
      <w:r>
        <w:rPr>
          <w:rFonts w:hint="eastAsia" w:ascii="宋体" w:hAnsi="宋体" w:cs="宋体"/>
          <w:sz w:val="24"/>
          <w:szCs w:val="24"/>
          <w:highlight w:val="none"/>
          <w:u w:val="single"/>
        </w:rPr>
        <w:t xml:space="preserve">  </w:t>
      </w:r>
      <w:r>
        <w:rPr>
          <w:rFonts w:hint="eastAsia" w:ascii="宋体" w:hAnsi="宋体" w:cs="宋体"/>
          <w:i/>
          <w:sz w:val="24"/>
          <w:szCs w:val="24"/>
          <w:highlight w:val="none"/>
          <w:u w:val="single"/>
        </w:rPr>
        <w:t xml:space="preserve"> </w:t>
      </w:r>
      <w:r>
        <w:rPr>
          <w:rFonts w:hint="eastAsia" w:ascii="宋体" w:hAnsi="宋体" w:cs="宋体"/>
          <w:sz w:val="24"/>
          <w:szCs w:val="24"/>
          <w:highlight w:val="none"/>
          <w:u w:val="single"/>
        </w:rPr>
        <w:t xml:space="preserve">执行通用合同条款    </w:t>
      </w:r>
      <w:r>
        <w:rPr>
          <w:rFonts w:hint="eastAsia" w:ascii="宋体" w:hAnsi="宋体" w:cs="宋体"/>
          <w:sz w:val="24"/>
          <w:szCs w:val="24"/>
          <w:highlight w:val="none"/>
        </w:rPr>
        <w:t>。</w:t>
      </w:r>
    </w:p>
    <w:p w14:paraId="0009AE27">
      <w:pPr>
        <w:spacing w:line="500" w:lineRule="exact"/>
        <w:ind w:firstLine="482" w:firstLineChars="200"/>
        <w:rPr>
          <w:rFonts w:hint="eastAsia" w:ascii="宋体" w:hAnsi="宋体" w:cs="宋体"/>
          <w:b/>
          <w:bCs/>
          <w:sz w:val="24"/>
          <w:szCs w:val="24"/>
          <w:highlight w:val="none"/>
        </w:rPr>
      </w:pPr>
      <w:bookmarkStart w:id="85" w:name="_Toc389586456"/>
      <w:r>
        <w:rPr>
          <w:rFonts w:hint="eastAsia" w:ascii="宋体" w:hAnsi="宋体" w:cs="宋体"/>
          <w:b/>
          <w:bCs/>
          <w:sz w:val="24"/>
          <w:szCs w:val="24"/>
          <w:highlight w:val="none"/>
        </w:rPr>
        <w:t>8.2 分包合同变更估价</w:t>
      </w:r>
      <w:bookmarkEnd w:id="85"/>
    </w:p>
    <w:p w14:paraId="0E6ABCDA">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8.2.1 变更估价原则</w:t>
      </w:r>
    </w:p>
    <w:p w14:paraId="2FDBB0E5">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关于变更估价原则的约定：</w:t>
      </w:r>
      <w:r>
        <w:rPr>
          <w:rFonts w:hint="eastAsia" w:ascii="宋体" w:hAnsi="宋体" w:cs="宋体"/>
          <w:sz w:val="24"/>
          <w:szCs w:val="24"/>
          <w:highlight w:val="none"/>
          <w:u w:val="single"/>
        </w:rPr>
        <w:t xml:space="preserve">     执行通用合同条款     </w:t>
      </w:r>
      <w:r>
        <w:rPr>
          <w:rFonts w:hint="eastAsia" w:ascii="宋体" w:hAnsi="宋体" w:cs="宋体"/>
          <w:sz w:val="24"/>
          <w:szCs w:val="24"/>
          <w:highlight w:val="none"/>
        </w:rPr>
        <w:t>。</w:t>
      </w:r>
    </w:p>
    <w:p w14:paraId="1A1DFD15">
      <w:pPr>
        <w:wordWrap w:val="0"/>
        <w:adjustRightInd w:val="0"/>
        <w:snapToGrid w:val="0"/>
        <w:spacing w:line="500" w:lineRule="exact"/>
        <w:ind w:firstLine="480"/>
        <w:jc w:val="left"/>
        <w:rPr>
          <w:rFonts w:hint="eastAsia" w:ascii="宋体" w:hAnsi="宋体" w:cs="宋体"/>
          <w:sz w:val="24"/>
          <w:szCs w:val="24"/>
          <w:highlight w:val="none"/>
        </w:rPr>
      </w:pPr>
      <w:r>
        <w:rPr>
          <w:rFonts w:hint="eastAsia" w:ascii="宋体" w:hAnsi="宋体" w:cs="宋体"/>
          <w:sz w:val="24"/>
          <w:szCs w:val="24"/>
          <w:highlight w:val="none"/>
        </w:rPr>
        <w:t>8.2.2 变更估价程序</w:t>
      </w:r>
    </w:p>
    <w:p w14:paraId="0B82BF43">
      <w:pPr>
        <w:wordWrap w:val="0"/>
        <w:adjustRightInd w:val="0"/>
        <w:snapToGrid w:val="0"/>
        <w:spacing w:line="500" w:lineRule="exact"/>
        <w:ind w:firstLine="480"/>
        <w:jc w:val="left"/>
        <w:rPr>
          <w:rFonts w:hint="eastAsia" w:ascii="宋体" w:hAnsi="宋体" w:cs="宋体"/>
          <w:sz w:val="24"/>
          <w:szCs w:val="24"/>
          <w:highlight w:val="none"/>
        </w:rPr>
      </w:pPr>
      <w:r>
        <w:rPr>
          <w:rFonts w:hint="eastAsia" w:ascii="宋体" w:hAnsi="宋体" w:cs="宋体"/>
          <w:sz w:val="24"/>
          <w:szCs w:val="24"/>
          <w:highlight w:val="none"/>
        </w:rPr>
        <w:t>关于变更估价程序的约定：</w:t>
      </w:r>
      <w:r>
        <w:rPr>
          <w:rFonts w:hint="eastAsia" w:ascii="宋体" w:hAnsi="宋体" w:cs="宋体"/>
          <w:sz w:val="24"/>
          <w:szCs w:val="24"/>
          <w:highlight w:val="none"/>
          <w:u w:val="single"/>
        </w:rPr>
        <w:t xml:space="preserve">    执行通用合同条款      </w:t>
      </w:r>
      <w:r>
        <w:rPr>
          <w:rFonts w:hint="eastAsia" w:ascii="宋体" w:hAnsi="宋体" w:cs="宋体"/>
          <w:sz w:val="24"/>
          <w:szCs w:val="24"/>
          <w:highlight w:val="none"/>
        </w:rPr>
        <w:t>。</w:t>
      </w:r>
    </w:p>
    <w:p w14:paraId="31F01C65">
      <w:pPr>
        <w:wordWrap w:val="0"/>
        <w:adjustRightInd w:val="0"/>
        <w:snapToGrid w:val="0"/>
        <w:spacing w:line="500" w:lineRule="exact"/>
        <w:ind w:firstLine="480"/>
        <w:jc w:val="left"/>
        <w:rPr>
          <w:rFonts w:hint="eastAsia" w:ascii="宋体" w:hAnsi="宋体" w:cs="宋体"/>
          <w:sz w:val="24"/>
          <w:szCs w:val="24"/>
          <w:highlight w:val="none"/>
        </w:rPr>
      </w:pPr>
      <w:bookmarkStart w:id="86" w:name="_Toc389586458"/>
      <w:r>
        <w:rPr>
          <w:rFonts w:hint="eastAsia" w:ascii="宋体" w:hAnsi="宋体" w:cs="宋体"/>
          <w:sz w:val="24"/>
          <w:szCs w:val="24"/>
          <w:highlight w:val="none"/>
        </w:rPr>
        <w:t>8.2.3 变更引起的工期调整</w:t>
      </w:r>
      <w:bookmarkEnd w:id="86"/>
    </w:p>
    <w:p w14:paraId="637E2B3A">
      <w:pPr>
        <w:wordWrap w:val="0"/>
        <w:adjustRightInd w:val="0"/>
        <w:snapToGrid w:val="0"/>
        <w:spacing w:line="500" w:lineRule="exact"/>
        <w:ind w:firstLine="480" w:firstLineChars="200"/>
        <w:jc w:val="left"/>
        <w:rPr>
          <w:rFonts w:hint="eastAsia" w:ascii="宋体" w:hAnsi="宋体" w:cs="宋体"/>
          <w:kern w:val="0"/>
          <w:sz w:val="24"/>
          <w:szCs w:val="24"/>
          <w:highlight w:val="none"/>
        </w:rPr>
      </w:pPr>
      <w:r>
        <w:rPr>
          <w:rFonts w:hint="eastAsia" w:ascii="宋体" w:hAnsi="宋体" w:cs="宋体"/>
          <w:kern w:val="0"/>
          <w:sz w:val="24"/>
          <w:szCs w:val="24"/>
          <w:highlight w:val="none"/>
        </w:rPr>
        <w:t>因变更引起工期变化的，确定增减工期天数的方法：</w:t>
      </w:r>
      <w:r>
        <w:rPr>
          <w:rFonts w:hint="eastAsia" w:ascii="宋体" w:hAnsi="宋体" w:cs="宋体"/>
          <w:kern w:val="0"/>
          <w:sz w:val="24"/>
          <w:szCs w:val="24"/>
          <w:highlight w:val="none"/>
          <w:u w:val="single"/>
        </w:rPr>
        <w:t xml:space="preserve">   由双方协商确定 </w:t>
      </w:r>
      <w:r>
        <w:rPr>
          <w:rFonts w:hint="eastAsia" w:ascii="宋体" w:hAnsi="宋体" w:cs="宋体"/>
          <w:i/>
          <w:kern w:val="0"/>
          <w:sz w:val="24"/>
          <w:szCs w:val="24"/>
          <w:highlight w:val="none"/>
          <w:u w:val="single"/>
        </w:rPr>
        <w:t xml:space="preserve"> </w:t>
      </w:r>
      <w:r>
        <w:rPr>
          <w:rFonts w:hint="eastAsia" w:ascii="宋体" w:hAnsi="宋体" w:cs="宋体"/>
          <w:kern w:val="0"/>
          <w:sz w:val="24"/>
          <w:szCs w:val="24"/>
          <w:highlight w:val="none"/>
          <w:u w:val="single"/>
        </w:rPr>
        <w:t xml:space="preserve"> </w:t>
      </w:r>
      <w:r>
        <w:rPr>
          <w:rFonts w:hint="eastAsia" w:ascii="宋体" w:hAnsi="宋体" w:cs="宋体"/>
          <w:kern w:val="0"/>
          <w:sz w:val="24"/>
          <w:szCs w:val="24"/>
          <w:highlight w:val="none"/>
        </w:rPr>
        <w:t>。</w:t>
      </w:r>
    </w:p>
    <w:p w14:paraId="7A4D366B">
      <w:pPr>
        <w:spacing w:line="500" w:lineRule="exact"/>
        <w:ind w:firstLine="482" w:firstLineChars="200"/>
        <w:rPr>
          <w:rFonts w:hint="eastAsia" w:ascii="宋体" w:hAnsi="宋体" w:cs="宋体"/>
          <w:b/>
          <w:bCs/>
          <w:sz w:val="24"/>
          <w:szCs w:val="24"/>
          <w:highlight w:val="none"/>
        </w:rPr>
      </w:pPr>
      <w:bookmarkStart w:id="87" w:name="_Toc389586459"/>
      <w:r>
        <w:rPr>
          <w:rFonts w:hint="eastAsia" w:ascii="宋体" w:hAnsi="宋体" w:cs="宋体"/>
          <w:b/>
          <w:bCs/>
          <w:sz w:val="24"/>
          <w:szCs w:val="24"/>
          <w:highlight w:val="none"/>
        </w:rPr>
        <w:t>9. 合同价格</w:t>
      </w:r>
      <w:bookmarkEnd w:id="87"/>
    </w:p>
    <w:p w14:paraId="7F2DABB7">
      <w:pP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9.1.1 单价合同</w:t>
      </w:r>
    </w:p>
    <w:p w14:paraId="16218DA2">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单价包含的风险范围：</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204346F6">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风险费用的计算方法：</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50060D4E">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风险范围以外合同价格的调整方法：</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13393D2F">
      <w:pP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9.1.2 总价合同</w:t>
      </w:r>
    </w:p>
    <w:p w14:paraId="15ECF15E">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总价包含的风险范围：</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3DF46CF4">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风险费用的计算方法：</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6504A341">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风险范围以外合同价格的调整方法：</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7DF7F3EA">
      <w:pPr>
        <w:wordWrap w:val="0"/>
        <w:adjustRightInd w:val="0"/>
        <w:snapToGrid w:val="0"/>
        <w:spacing w:line="500" w:lineRule="exact"/>
        <w:ind w:firstLine="482" w:firstLineChars="200"/>
        <w:jc w:val="left"/>
        <w:rPr>
          <w:rFonts w:hint="eastAsia" w:ascii="宋体" w:hAnsi="宋体" w:cs="宋体"/>
          <w:kern w:val="0"/>
          <w:sz w:val="24"/>
          <w:szCs w:val="24"/>
          <w:highlight w:val="none"/>
        </w:rPr>
      </w:pPr>
      <w:r>
        <w:rPr>
          <w:rFonts w:hint="eastAsia" w:ascii="宋体" w:hAnsi="宋体" w:cs="宋体"/>
          <w:b/>
          <w:bCs/>
          <w:sz w:val="24"/>
          <w:szCs w:val="24"/>
          <w:highlight w:val="none"/>
        </w:rPr>
        <w:t>9.1.3 其他价格形式</w:t>
      </w:r>
      <w:r>
        <w:rPr>
          <w:rFonts w:hint="eastAsia" w:ascii="宋体" w:hAnsi="宋体" w:cs="宋体"/>
          <w:sz w:val="24"/>
          <w:szCs w:val="24"/>
          <w:highlight w:val="none"/>
        </w:rPr>
        <w:t>：</w:t>
      </w:r>
      <w:r>
        <w:rPr>
          <w:rFonts w:hint="eastAsia" w:ascii="宋体" w:hAnsi="宋体" w:cs="宋体"/>
          <w:sz w:val="24"/>
          <w:szCs w:val="24"/>
          <w:highlight w:val="none"/>
          <w:u w:val="single"/>
        </w:rPr>
        <w:t xml:space="preserve"> </w:t>
      </w:r>
      <w:r>
        <w:rPr>
          <w:rFonts w:hint="eastAsia" w:ascii="宋体" w:hAnsi="宋体" w:cs="宋体"/>
          <w:i/>
          <w:sz w:val="24"/>
          <w:szCs w:val="24"/>
          <w:highlight w:val="none"/>
          <w:u w:val="single"/>
        </w:rPr>
        <w:t xml:space="preserve">                                           </w:t>
      </w:r>
      <w:r>
        <w:rPr>
          <w:rFonts w:hint="eastAsia" w:ascii="宋体" w:hAnsi="宋体" w:cs="宋体"/>
          <w:sz w:val="24"/>
          <w:szCs w:val="24"/>
          <w:highlight w:val="none"/>
        </w:rPr>
        <w:t xml:space="preserve">。 </w:t>
      </w:r>
    </w:p>
    <w:p w14:paraId="2C554927">
      <w:pPr>
        <w:spacing w:line="500" w:lineRule="exact"/>
        <w:ind w:firstLine="482" w:firstLineChars="200"/>
        <w:rPr>
          <w:rFonts w:hint="eastAsia" w:ascii="宋体" w:hAnsi="宋体" w:cs="宋体"/>
          <w:b/>
          <w:bCs/>
          <w:sz w:val="24"/>
          <w:szCs w:val="24"/>
          <w:highlight w:val="none"/>
        </w:rPr>
      </w:pPr>
      <w:bookmarkStart w:id="88" w:name="_Toc389586460"/>
      <w:r>
        <w:rPr>
          <w:rFonts w:hint="eastAsia" w:ascii="宋体" w:hAnsi="宋体" w:cs="宋体"/>
          <w:b/>
          <w:bCs/>
          <w:sz w:val="24"/>
          <w:szCs w:val="24"/>
          <w:highlight w:val="none"/>
        </w:rPr>
        <w:t>10. 价格调整</w:t>
      </w:r>
      <w:bookmarkEnd w:id="88"/>
    </w:p>
    <w:p w14:paraId="5EE41B6F">
      <w:pPr>
        <w:spacing w:line="500" w:lineRule="exact"/>
        <w:ind w:firstLine="482" w:firstLineChars="200"/>
        <w:rPr>
          <w:rFonts w:hint="eastAsia" w:ascii="宋体" w:hAnsi="宋体" w:cs="宋体"/>
          <w:b/>
          <w:bCs/>
          <w:sz w:val="24"/>
          <w:szCs w:val="24"/>
          <w:highlight w:val="none"/>
        </w:rPr>
      </w:pPr>
      <w:bookmarkStart w:id="89" w:name="_Toc389586461"/>
      <w:r>
        <w:rPr>
          <w:rFonts w:hint="eastAsia" w:ascii="宋体" w:hAnsi="宋体" w:cs="宋体"/>
          <w:b/>
          <w:bCs/>
          <w:sz w:val="24"/>
          <w:szCs w:val="24"/>
          <w:highlight w:val="none"/>
        </w:rPr>
        <w:t>10.1 市场价格波动引起的调整</w:t>
      </w:r>
      <w:bookmarkEnd w:id="89"/>
    </w:p>
    <w:p w14:paraId="6FFD48FD">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kern w:val="0"/>
          <w:sz w:val="24"/>
          <w:szCs w:val="24"/>
          <w:highlight w:val="none"/>
        </w:rPr>
        <w:t>市场价格波动</w:t>
      </w:r>
      <w:r>
        <w:rPr>
          <w:rFonts w:hint="eastAsia" w:ascii="宋体" w:hAnsi="宋体" w:cs="宋体"/>
          <w:sz w:val="24"/>
          <w:szCs w:val="24"/>
          <w:highlight w:val="none"/>
        </w:rPr>
        <w:t>是否调整分包合同价格的约定：</w:t>
      </w:r>
      <w:r>
        <w:rPr>
          <w:rFonts w:hint="eastAsia" w:ascii="宋体" w:hAnsi="宋体" w:cs="宋体"/>
          <w:sz w:val="24"/>
          <w:szCs w:val="24"/>
          <w:highlight w:val="none"/>
          <w:u w:val="single"/>
        </w:rPr>
        <w:t xml:space="preserve">     见本合同约定    </w:t>
      </w:r>
      <w:r>
        <w:rPr>
          <w:rFonts w:hint="eastAsia" w:ascii="宋体" w:hAnsi="宋体" w:cs="宋体"/>
          <w:sz w:val="24"/>
          <w:szCs w:val="24"/>
          <w:highlight w:val="none"/>
        </w:rPr>
        <w:t>。</w:t>
      </w:r>
    </w:p>
    <w:p w14:paraId="62E5FFAE">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因市场价格波动，调整合同价格的方式：</w:t>
      </w:r>
      <w:r>
        <w:rPr>
          <w:rFonts w:hint="eastAsia" w:ascii="宋体" w:hAnsi="宋体" w:cs="宋体"/>
          <w:sz w:val="24"/>
          <w:szCs w:val="24"/>
          <w:highlight w:val="none"/>
          <w:u w:val="single"/>
        </w:rPr>
        <w:t xml:space="preserve">      见本合同约定       </w:t>
      </w:r>
      <w:r>
        <w:rPr>
          <w:rFonts w:hint="eastAsia" w:ascii="宋体" w:hAnsi="宋体" w:cs="宋体"/>
          <w:sz w:val="24"/>
          <w:szCs w:val="24"/>
          <w:highlight w:val="none"/>
        </w:rPr>
        <w:t>。</w:t>
      </w:r>
    </w:p>
    <w:p w14:paraId="2C8E9419">
      <w:pPr>
        <w:spacing w:line="500" w:lineRule="exact"/>
        <w:ind w:firstLine="482" w:firstLineChars="200"/>
        <w:rPr>
          <w:rFonts w:hint="eastAsia" w:ascii="宋体" w:hAnsi="宋体" w:cs="宋体"/>
          <w:b/>
          <w:bCs/>
          <w:sz w:val="24"/>
          <w:szCs w:val="24"/>
          <w:highlight w:val="none"/>
        </w:rPr>
      </w:pPr>
      <w:bookmarkStart w:id="90" w:name="_Toc389586462"/>
      <w:r>
        <w:rPr>
          <w:rFonts w:hint="eastAsia" w:ascii="宋体" w:hAnsi="宋体" w:cs="宋体"/>
          <w:b/>
          <w:bCs/>
          <w:sz w:val="24"/>
          <w:szCs w:val="24"/>
          <w:highlight w:val="none"/>
        </w:rPr>
        <w:t>11. 计量</w:t>
      </w:r>
      <w:bookmarkEnd w:id="90"/>
    </w:p>
    <w:p w14:paraId="74D44D68">
      <w:pPr>
        <w:spacing w:line="500" w:lineRule="exact"/>
        <w:ind w:firstLine="482" w:firstLineChars="200"/>
        <w:rPr>
          <w:rFonts w:hint="eastAsia" w:ascii="宋体" w:hAnsi="宋体" w:cs="宋体"/>
          <w:b/>
          <w:bCs/>
          <w:sz w:val="24"/>
          <w:szCs w:val="24"/>
          <w:highlight w:val="none"/>
        </w:rPr>
      </w:pPr>
      <w:bookmarkStart w:id="91" w:name="_Toc389586463"/>
      <w:r>
        <w:rPr>
          <w:rFonts w:hint="eastAsia" w:ascii="宋体" w:hAnsi="宋体" w:cs="宋体"/>
          <w:b/>
          <w:bCs/>
          <w:sz w:val="24"/>
          <w:szCs w:val="24"/>
          <w:highlight w:val="none"/>
        </w:rPr>
        <w:t>11.1 计量原则和计量周期</w:t>
      </w:r>
      <w:bookmarkEnd w:id="91"/>
    </w:p>
    <w:p w14:paraId="0FAA962E">
      <w:pPr>
        <w:pStyle w:val="13"/>
        <w:spacing w:before="0" w:beforeAutospacing="0" w:after="0" w:afterAutospacing="0" w:line="500" w:lineRule="exact"/>
        <w:ind w:firstLine="480" w:firstLineChars="200"/>
        <w:rPr>
          <w:rFonts w:hint="eastAsia"/>
          <w:szCs w:val="24"/>
          <w:highlight w:val="none"/>
        </w:rPr>
      </w:pPr>
      <w:r>
        <w:rPr>
          <w:rFonts w:hint="eastAsia"/>
          <w:kern w:val="2"/>
          <w:szCs w:val="24"/>
          <w:highlight w:val="none"/>
        </w:rPr>
        <w:t>11.1.1</w:t>
      </w:r>
      <w:r>
        <w:rPr>
          <w:rFonts w:hint="eastAsia"/>
          <w:szCs w:val="24"/>
          <w:highlight w:val="none"/>
        </w:rPr>
        <w:t xml:space="preserve"> 工程量计算规则：</w:t>
      </w:r>
      <w:r>
        <w:rPr>
          <w:rFonts w:hint="eastAsia"/>
          <w:szCs w:val="24"/>
          <w:highlight w:val="none"/>
          <w:u w:val="single"/>
        </w:rPr>
        <w:t xml:space="preserve">                                           </w:t>
      </w:r>
      <w:r>
        <w:rPr>
          <w:rFonts w:hint="eastAsia"/>
          <w:szCs w:val="24"/>
          <w:highlight w:val="none"/>
        </w:rPr>
        <w:t>。</w:t>
      </w:r>
    </w:p>
    <w:p w14:paraId="1E501EE1">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11.1.2 工程量计量周期：</w:t>
      </w:r>
      <w:r>
        <w:rPr>
          <w:rFonts w:hint="eastAsia" w:ascii="宋体" w:hAnsi="宋体" w:cs="宋体"/>
          <w:sz w:val="24"/>
          <w:szCs w:val="24"/>
          <w:highlight w:val="none"/>
          <w:u w:val="single"/>
        </w:rPr>
        <w:t xml:space="preserve"> </w:t>
      </w:r>
      <w:r>
        <w:rPr>
          <w:rFonts w:hint="eastAsia" w:ascii="宋体" w:hAnsi="宋体" w:cs="宋体"/>
          <w:kern w:val="0"/>
          <w:sz w:val="24"/>
          <w:szCs w:val="24"/>
          <w:highlight w:val="none"/>
          <w:u w:val="single"/>
        </w:rPr>
        <w:t xml:space="preserve"> 按月计量，每月25日分包人按进度盘点确认的完成工程量，编制月进度结算表（图纸范围内的工作内容），由承包人分公司及项目部审核后结算，结算比例为核定工作量的80%  </w:t>
      </w:r>
      <w:r>
        <w:rPr>
          <w:rFonts w:hint="eastAsia" w:ascii="宋体" w:hAnsi="宋体" w:cs="宋体"/>
          <w:sz w:val="24"/>
          <w:szCs w:val="24"/>
          <w:highlight w:val="none"/>
        </w:rPr>
        <w:t>。</w:t>
      </w:r>
    </w:p>
    <w:p w14:paraId="02BD721D">
      <w:pPr>
        <w:spacing w:line="500" w:lineRule="exact"/>
        <w:ind w:firstLine="482" w:firstLineChars="200"/>
        <w:rPr>
          <w:rFonts w:hint="eastAsia" w:ascii="宋体" w:hAnsi="宋体" w:cs="宋体"/>
          <w:b/>
          <w:bCs/>
          <w:sz w:val="24"/>
          <w:szCs w:val="24"/>
          <w:highlight w:val="none"/>
        </w:rPr>
      </w:pPr>
      <w:bookmarkStart w:id="92" w:name="_Toc389586464"/>
      <w:r>
        <w:rPr>
          <w:rFonts w:hint="eastAsia" w:ascii="宋体" w:hAnsi="宋体" w:cs="宋体"/>
          <w:b/>
          <w:bCs/>
          <w:sz w:val="24"/>
          <w:szCs w:val="24"/>
          <w:highlight w:val="none"/>
        </w:rPr>
        <w:t>11.2 计量程序</w:t>
      </w:r>
      <w:bookmarkEnd w:id="92"/>
    </w:p>
    <w:p w14:paraId="38CF63E1">
      <w:pPr>
        <w:wordWrap w:val="0"/>
        <w:adjustRightInd w:val="0"/>
        <w:snapToGrid w:val="0"/>
        <w:spacing w:line="500" w:lineRule="exact"/>
        <w:ind w:firstLine="480" w:firstLineChars="200"/>
        <w:jc w:val="left"/>
        <w:rPr>
          <w:rFonts w:hint="eastAsia" w:ascii="宋体" w:hAnsi="宋体" w:cs="宋体"/>
          <w:kern w:val="0"/>
          <w:sz w:val="24"/>
          <w:szCs w:val="24"/>
          <w:highlight w:val="none"/>
        </w:rPr>
      </w:pPr>
      <w:r>
        <w:rPr>
          <w:rFonts w:hint="eastAsia" w:ascii="宋体" w:hAnsi="宋体" w:cs="宋体"/>
          <w:sz w:val="24"/>
          <w:szCs w:val="24"/>
          <w:highlight w:val="none"/>
        </w:rPr>
        <w:t>关于计量程序的约定：</w:t>
      </w:r>
      <w:r>
        <w:rPr>
          <w:rFonts w:hint="eastAsia" w:ascii="宋体" w:hAnsi="宋体" w:cs="宋体"/>
          <w:sz w:val="24"/>
          <w:szCs w:val="24"/>
          <w:highlight w:val="none"/>
          <w:u w:val="single"/>
        </w:rPr>
        <w:t xml:space="preserve">  执行通用合同条款   </w:t>
      </w:r>
      <w:r>
        <w:rPr>
          <w:rFonts w:hint="eastAsia" w:ascii="宋体" w:hAnsi="宋体" w:cs="宋体"/>
          <w:sz w:val="24"/>
          <w:szCs w:val="24"/>
          <w:highlight w:val="none"/>
        </w:rPr>
        <w:t>。</w:t>
      </w:r>
    </w:p>
    <w:p w14:paraId="07378211">
      <w:pPr>
        <w:spacing w:line="500" w:lineRule="exact"/>
        <w:ind w:firstLine="482" w:firstLineChars="200"/>
        <w:rPr>
          <w:rFonts w:hint="eastAsia" w:ascii="宋体" w:hAnsi="宋体" w:cs="宋体"/>
          <w:b/>
          <w:bCs/>
          <w:sz w:val="24"/>
          <w:szCs w:val="24"/>
          <w:highlight w:val="none"/>
        </w:rPr>
      </w:pPr>
      <w:bookmarkStart w:id="93" w:name="_Toc389586465"/>
      <w:r>
        <w:rPr>
          <w:rFonts w:hint="eastAsia" w:ascii="宋体" w:hAnsi="宋体" w:cs="宋体"/>
          <w:b/>
          <w:bCs/>
          <w:sz w:val="24"/>
          <w:szCs w:val="24"/>
          <w:highlight w:val="none"/>
        </w:rPr>
        <w:t>12. 工程款支付</w:t>
      </w:r>
      <w:bookmarkEnd w:id="93"/>
    </w:p>
    <w:p w14:paraId="778569B0">
      <w:pPr>
        <w:spacing w:line="500" w:lineRule="exact"/>
        <w:ind w:firstLine="482" w:firstLineChars="200"/>
        <w:rPr>
          <w:rFonts w:hint="eastAsia" w:ascii="宋体" w:hAnsi="宋体" w:cs="宋体"/>
          <w:b/>
          <w:bCs/>
          <w:sz w:val="24"/>
          <w:szCs w:val="24"/>
          <w:highlight w:val="none"/>
        </w:rPr>
      </w:pPr>
      <w:bookmarkStart w:id="94" w:name="_Toc389586466"/>
      <w:r>
        <w:rPr>
          <w:rFonts w:hint="eastAsia" w:ascii="宋体" w:hAnsi="宋体" w:cs="宋体"/>
          <w:b/>
          <w:bCs/>
          <w:sz w:val="24"/>
          <w:szCs w:val="24"/>
          <w:highlight w:val="none"/>
        </w:rPr>
        <w:t>12.1 预付款</w:t>
      </w:r>
      <w:bookmarkEnd w:id="94"/>
    </w:p>
    <w:p w14:paraId="543488E3">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预付款支付比例或金额：</w:t>
      </w:r>
      <w:r>
        <w:rPr>
          <w:rFonts w:hint="eastAsia" w:ascii="宋体" w:hAnsi="宋体" w:cs="宋体"/>
          <w:sz w:val="24"/>
          <w:szCs w:val="24"/>
          <w:highlight w:val="none"/>
          <w:u w:val="single"/>
        </w:rPr>
        <w:t xml:space="preserve">         无           </w:t>
      </w:r>
      <w:r>
        <w:rPr>
          <w:rFonts w:hint="eastAsia" w:ascii="宋体" w:hAnsi="宋体" w:cs="宋体"/>
          <w:sz w:val="24"/>
          <w:szCs w:val="24"/>
          <w:highlight w:val="none"/>
        </w:rPr>
        <w:t>。</w:t>
      </w:r>
    </w:p>
    <w:p w14:paraId="7E74415B">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预付款支付期限：</w:t>
      </w:r>
      <w:r>
        <w:rPr>
          <w:rFonts w:hint="eastAsia" w:ascii="宋体" w:hAnsi="宋体" w:cs="宋体"/>
          <w:sz w:val="24"/>
          <w:szCs w:val="24"/>
          <w:highlight w:val="none"/>
          <w:u w:val="single"/>
        </w:rPr>
        <w:t xml:space="preserve">             无             </w:t>
      </w:r>
      <w:r>
        <w:rPr>
          <w:rFonts w:hint="eastAsia" w:ascii="宋体" w:hAnsi="宋体" w:cs="宋体"/>
          <w:sz w:val="24"/>
          <w:szCs w:val="24"/>
          <w:highlight w:val="none"/>
        </w:rPr>
        <w:t>。</w:t>
      </w:r>
    </w:p>
    <w:p w14:paraId="4CFC388B">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承包人逾期支付预付款的违约责任：</w:t>
      </w:r>
      <w:r>
        <w:rPr>
          <w:rFonts w:hint="eastAsia" w:ascii="宋体" w:hAnsi="宋体" w:cs="宋体"/>
          <w:sz w:val="24"/>
          <w:szCs w:val="24"/>
          <w:highlight w:val="none"/>
          <w:u w:val="single"/>
        </w:rPr>
        <w:t xml:space="preserve">     无     </w:t>
      </w:r>
      <w:r>
        <w:rPr>
          <w:rFonts w:hint="eastAsia" w:ascii="宋体" w:hAnsi="宋体" w:cs="宋体"/>
          <w:sz w:val="24"/>
          <w:szCs w:val="24"/>
          <w:highlight w:val="none"/>
        </w:rPr>
        <w:t>。</w:t>
      </w:r>
    </w:p>
    <w:p w14:paraId="03120956">
      <w:pPr>
        <w:wordWrap w:val="0"/>
        <w:adjustRightInd w:val="0"/>
        <w:snapToGrid w:val="0"/>
        <w:spacing w:line="500" w:lineRule="exact"/>
        <w:ind w:firstLine="480"/>
        <w:jc w:val="left"/>
        <w:rPr>
          <w:rFonts w:hint="eastAsia" w:ascii="宋体" w:hAnsi="宋体" w:cs="宋体"/>
          <w:sz w:val="24"/>
          <w:szCs w:val="24"/>
          <w:highlight w:val="none"/>
        </w:rPr>
      </w:pPr>
      <w:r>
        <w:rPr>
          <w:rFonts w:hint="eastAsia" w:ascii="宋体" w:hAnsi="宋体" w:cs="宋体"/>
          <w:sz w:val="24"/>
          <w:szCs w:val="24"/>
          <w:highlight w:val="none"/>
        </w:rPr>
        <w:t>关于预付款扣回的约定：</w:t>
      </w:r>
      <w:r>
        <w:rPr>
          <w:rFonts w:hint="eastAsia" w:ascii="宋体" w:hAnsi="宋体" w:cs="宋体"/>
          <w:sz w:val="24"/>
          <w:szCs w:val="24"/>
          <w:highlight w:val="none"/>
          <w:u w:val="single"/>
        </w:rPr>
        <w:t xml:space="preserve">          无          </w:t>
      </w:r>
      <w:r>
        <w:rPr>
          <w:rFonts w:hint="eastAsia" w:ascii="宋体" w:hAnsi="宋体" w:cs="宋体"/>
          <w:sz w:val="24"/>
          <w:szCs w:val="24"/>
          <w:highlight w:val="none"/>
        </w:rPr>
        <w:t>。</w:t>
      </w:r>
    </w:p>
    <w:p w14:paraId="65FCDDBD">
      <w:pPr>
        <w:spacing w:line="500" w:lineRule="exact"/>
        <w:ind w:firstLine="482" w:firstLineChars="200"/>
        <w:rPr>
          <w:rFonts w:hint="eastAsia" w:ascii="宋体" w:hAnsi="宋体" w:cs="宋体"/>
          <w:b/>
          <w:bCs/>
          <w:sz w:val="24"/>
          <w:szCs w:val="24"/>
          <w:highlight w:val="none"/>
        </w:rPr>
      </w:pPr>
      <w:bookmarkStart w:id="95" w:name="_Toc389586467"/>
      <w:r>
        <w:rPr>
          <w:rFonts w:hint="eastAsia" w:ascii="宋体" w:hAnsi="宋体" w:cs="宋体"/>
          <w:b/>
          <w:bCs/>
          <w:sz w:val="24"/>
          <w:szCs w:val="24"/>
          <w:highlight w:val="none"/>
        </w:rPr>
        <w:t>12.2 安全文明施工费的支付</w:t>
      </w:r>
      <w:bookmarkEnd w:id="95"/>
    </w:p>
    <w:p w14:paraId="30D39007">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承包人支付安全文明施工费的比例及期限：</w:t>
      </w:r>
      <w:r>
        <w:rPr>
          <w:rFonts w:hint="eastAsia" w:ascii="宋体" w:hAnsi="宋体" w:cs="宋体"/>
          <w:sz w:val="24"/>
          <w:szCs w:val="24"/>
          <w:highlight w:val="none"/>
          <w:u w:val="single"/>
        </w:rPr>
        <w:t xml:space="preserve">  </w:t>
      </w:r>
      <w:r>
        <w:rPr>
          <w:rFonts w:hint="eastAsia" w:ascii="宋体" w:hAnsi="宋体" w:cs="宋体"/>
          <w:kern w:val="0"/>
          <w:sz w:val="24"/>
          <w:szCs w:val="24"/>
          <w:highlight w:val="none"/>
          <w:u w:val="single"/>
        </w:rPr>
        <w:t xml:space="preserve">与进度款同比例支付  </w:t>
      </w:r>
      <w:r>
        <w:rPr>
          <w:rFonts w:hint="eastAsia" w:ascii="宋体" w:hAnsi="宋体" w:cs="宋体"/>
          <w:sz w:val="24"/>
          <w:szCs w:val="24"/>
          <w:highlight w:val="none"/>
        </w:rPr>
        <w:t>。</w:t>
      </w:r>
    </w:p>
    <w:p w14:paraId="3F492A65">
      <w:pPr>
        <w:spacing w:line="500" w:lineRule="exact"/>
        <w:ind w:firstLine="482" w:firstLineChars="200"/>
        <w:rPr>
          <w:rFonts w:hint="eastAsia" w:ascii="宋体" w:hAnsi="宋体" w:cs="宋体"/>
          <w:b/>
          <w:bCs/>
          <w:sz w:val="24"/>
          <w:szCs w:val="24"/>
          <w:highlight w:val="none"/>
        </w:rPr>
      </w:pPr>
      <w:bookmarkStart w:id="96" w:name="_Toc389586468"/>
      <w:r>
        <w:rPr>
          <w:rFonts w:hint="eastAsia" w:ascii="宋体" w:hAnsi="宋体" w:cs="宋体"/>
          <w:b/>
          <w:bCs/>
          <w:sz w:val="24"/>
          <w:szCs w:val="24"/>
          <w:highlight w:val="none"/>
        </w:rPr>
        <w:t>12.3 工程进度款支付</w:t>
      </w:r>
      <w:bookmarkEnd w:id="96"/>
    </w:p>
    <w:p w14:paraId="74EC33F6">
      <w:pPr>
        <w:spacing w:line="500" w:lineRule="exact"/>
        <w:ind w:firstLine="480" w:firstLineChars="200"/>
        <w:rPr>
          <w:rFonts w:hint="eastAsia" w:ascii="宋体" w:hAnsi="宋体" w:cs="宋体"/>
          <w:b/>
          <w:bCs/>
          <w:sz w:val="24"/>
          <w:szCs w:val="24"/>
          <w:highlight w:val="none"/>
        </w:rPr>
      </w:pPr>
      <w:r>
        <w:rPr>
          <w:rFonts w:hint="eastAsia" w:ascii="宋体" w:hAnsi="宋体" w:cs="宋体"/>
          <w:sz w:val="24"/>
          <w:szCs w:val="24"/>
          <w:highlight w:val="none"/>
        </w:rPr>
        <w:t>12.3.1 工程进度款付款周期：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24926B51">
      <w:pPr>
        <w:wordWrap w:val="0"/>
        <w:adjustRightInd w:val="0"/>
        <w:snapToGrid w:val="0"/>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rPr>
        <w:t>12.3</w:t>
      </w:r>
      <w:r>
        <w:rPr>
          <w:rFonts w:hint="eastAsia" w:ascii="宋体" w:hAnsi="宋体" w:cs="宋体"/>
          <w:kern w:val="0"/>
          <w:sz w:val="24"/>
          <w:szCs w:val="24"/>
          <w:highlight w:val="none"/>
        </w:rPr>
        <w:t xml:space="preserve">.2 </w:t>
      </w:r>
      <w:r>
        <w:rPr>
          <w:rFonts w:hint="eastAsia" w:ascii="宋体" w:hAnsi="宋体" w:cs="宋体"/>
          <w:sz w:val="24"/>
          <w:szCs w:val="24"/>
          <w:highlight w:val="none"/>
        </w:rPr>
        <w:t>进度付款申请单应包括的内容：</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202BBB26">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12.3</w:t>
      </w:r>
      <w:r>
        <w:rPr>
          <w:rFonts w:hint="eastAsia" w:ascii="宋体" w:hAnsi="宋体" w:cs="宋体"/>
          <w:kern w:val="0"/>
          <w:sz w:val="24"/>
          <w:szCs w:val="24"/>
          <w:highlight w:val="none"/>
        </w:rPr>
        <w:t xml:space="preserve">.3 </w:t>
      </w:r>
      <w:r>
        <w:rPr>
          <w:rFonts w:hint="eastAsia" w:ascii="宋体" w:hAnsi="宋体" w:cs="宋体"/>
          <w:sz w:val="24"/>
          <w:szCs w:val="24"/>
          <w:highlight w:val="none"/>
        </w:rPr>
        <w:t>进度款办理程序</w:t>
      </w:r>
    </w:p>
    <w:p w14:paraId="48B76789">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3F0BDE97">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12.3</w:t>
      </w:r>
      <w:r>
        <w:rPr>
          <w:rFonts w:hint="eastAsia" w:ascii="宋体" w:hAnsi="宋体" w:cs="宋体"/>
          <w:kern w:val="0"/>
          <w:sz w:val="24"/>
          <w:szCs w:val="24"/>
          <w:highlight w:val="none"/>
        </w:rPr>
        <w:t xml:space="preserve">.4 </w:t>
      </w:r>
      <w:r>
        <w:rPr>
          <w:rFonts w:hint="eastAsia" w:ascii="宋体" w:hAnsi="宋体" w:cs="宋体"/>
          <w:sz w:val="24"/>
          <w:szCs w:val="24"/>
          <w:highlight w:val="none"/>
        </w:rPr>
        <w:t>月度预结算流程</w:t>
      </w:r>
    </w:p>
    <w:p w14:paraId="45672F4E">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承包人项目现场工程师办理《分包单位履约验收单》——承包人对工程进度、质量、安全、文明施工和协调配合等方面进行评定后——承包人项目部财务按规定审核——承包人项目经理终审。</w:t>
      </w:r>
    </w:p>
    <w:p w14:paraId="228EA51F">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12.3.5  进度款审核和支付</w:t>
      </w:r>
    </w:p>
    <w:p w14:paraId="55614B4F">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（1）承包人对完成审核并签发进度款支付证书的期限：</w:t>
      </w:r>
      <w:r>
        <w:rPr>
          <w:rFonts w:hint="eastAsia" w:ascii="宋体" w:hAnsi="宋体" w:cs="宋体"/>
          <w:sz w:val="24"/>
          <w:szCs w:val="24"/>
          <w:highlight w:val="none"/>
          <w:u w:val="single"/>
        </w:rPr>
        <w:t>分包人按承包人验收的工程量提交已完成工程进度付款申请单（工程月报）的时间为每月25日。</w:t>
      </w:r>
      <w:r>
        <w:rPr>
          <w:rFonts w:hint="eastAsia" w:ascii="宋体" w:hAnsi="宋体" w:cs="宋体"/>
          <w:kern w:val="0"/>
          <w:sz w:val="24"/>
          <w:szCs w:val="24"/>
          <w:highlight w:val="none"/>
          <w:u w:val="single"/>
        </w:rPr>
        <w:t>承包人应在收到分包人进度付款申请单后21天内完成审核并签发进度款支付证书。承包人逾期未完成审批且未提出异议的，视为已签发进度款支付证书。</w:t>
      </w:r>
    </w:p>
    <w:p w14:paraId="1093069F">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（2）承包人完成支付的期限：</w:t>
      </w:r>
      <w:r>
        <w:rPr>
          <w:rFonts w:hint="eastAsia" w:ascii="宋体" w:hAnsi="宋体" w:cs="宋体"/>
          <w:sz w:val="24"/>
          <w:szCs w:val="24"/>
          <w:highlight w:val="none"/>
          <w:u w:val="single"/>
        </w:rPr>
        <w:t>待发包人支付工程款后，承包人根据工作需要及时支付进度款。</w:t>
      </w:r>
    </w:p>
    <w:p w14:paraId="7371AAF8">
      <w:pPr>
        <w:pStyle w:val="3"/>
        <w:spacing w:line="500" w:lineRule="exact"/>
        <w:ind w:firstLine="241" w:firstLineChars="100"/>
        <w:rPr>
          <w:rFonts w:hint="eastAsia" w:cs="宋体"/>
          <w:sz w:val="24"/>
          <w:szCs w:val="24"/>
          <w:highlight w:val="none"/>
        </w:rPr>
      </w:pPr>
      <w:r>
        <w:rPr>
          <w:rFonts w:hint="eastAsia" w:cs="宋体"/>
          <w:sz w:val="24"/>
          <w:szCs w:val="24"/>
          <w:highlight w:val="none"/>
        </w:rPr>
        <w:t xml:space="preserve">  13. 增值税发票开具</w:t>
      </w:r>
    </w:p>
    <w:p w14:paraId="6AB8E88C">
      <w:pPr>
        <w:pStyle w:val="3"/>
        <w:spacing w:line="500" w:lineRule="exact"/>
        <w:ind w:firstLine="241" w:firstLineChars="100"/>
        <w:rPr>
          <w:rFonts w:hint="eastAsia" w:cs="宋体"/>
          <w:sz w:val="24"/>
          <w:szCs w:val="24"/>
          <w:highlight w:val="none"/>
        </w:rPr>
      </w:pPr>
      <w:r>
        <w:rPr>
          <w:rFonts w:hint="eastAsia" w:cs="宋体"/>
          <w:sz w:val="24"/>
          <w:szCs w:val="24"/>
          <w:highlight w:val="none"/>
        </w:rPr>
        <w:t xml:space="preserve">  13.1 增值税发票开具注意事项</w:t>
      </w:r>
    </w:p>
    <w:p w14:paraId="52BE37D2">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 xml:space="preserve">13.1.1 甲方向乙方付款时，乙方应根据甲方确认的付款数额，在接到甲方开票要求后开具增值税专用发票，并须在开具增值税扣税凭证之日起 </w:t>
      </w:r>
      <w:r>
        <w:rPr>
          <w:rFonts w:hint="eastAsia" w:ascii="宋体" w:hAnsi="宋体" w:cs="宋体"/>
          <w:sz w:val="24"/>
          <w:szCs w:val="24"/>
          <w:highlight w:val="none"/>
          <w:u w:val="single"/>
        </w:rPr>
        <w:t xml:space="preserve">10日内 </w:t>
      </w:r>
      <w:r>
        <w:rPr>
          <w:rFonts w:hint="eastAsia" w:ascii="宋体" w:hAnsi="宋体" w:cs="宋体"/>
          <w:sz w:val="24"/>
          <w:szCs w:val="24"/>
          <w:highlight w:val="none"/>
        </w:rPr>
        <w:t>送达甲方。甲方凭乙方提供的有效增值税专用发票，在经税务机关认证且抵扣税款后向乙方结算。</w:t>
      </w:r>
    </w:p>
    <w:p w14:paraId="667061E2">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13.1.2 乙方提供内容完整的增值税专用发票。其中：甲方名称、纳税人识别号、地址、电话、开户行、账号信息要与本协议约定内容保持一致，专用发票备注栏中要根据协议内容，注明项目地址、项目名称。同时，乙方提供的增值税专用发票必须保持干净整洁，不能有污损和折叠，发票专用章不能遮挡发票金额。因乙方提供的增值税专用发票不规范、不合法或涉嫌虚开，所造成的一切经济及法律后果由乙方承担，且不免除其继续开具合法发票的义务。</w:t>
      </w:r>
    </w:p>
    <w:p w14:paraId="0067F8D7">
      <w:pPr>
        <w:spacing w:line="500" w:lineRule="exact"/>
        <w:ind w:firstLine="482" w:firstLineChars="200"/>
        <w:rPr>
          <w:rFonts w:hint="eastAsia" w:ascii="宋体" w:hAnsi="宋体" w:cs="宋体"/>
          <w:b/>
          <w:bCs/>
          <w:sz w:val="24"/>
          <w:szCs w:val="24"/>
          <w:highlight w:val="none"/>
        </w:rPr>
      </w:pPr>
      <w:bookmarkStart w:id="97" w:name="_Toc389586469"/>
      <w:r>
        <w:rPr>
          <w:rFonts w:hint="eastAsia" w:ascii="宋体" w:hAnsi="宋体" w:cs="宋体"/>
          <w:b/>
          <w:bCs/>
          <w:sz w:val="24"/>
          <w:szCs w:val="24"/>
          <w:highlight w:val="none"/>
        </w:rPr>
        <w:t>14. 试车</w:t>
      </w:r>
      <w:bookmarkEnd w:id="97"/>
    </w:p>
    <w:p w14:paraId="2FC20C80">
      <w:pPr>
        <w:spacing w:line="500" w:lineRule="exact"/>
        <w:ind w:firstLine="482" w:firstLineChars="200"/>
        <w:rPr>
          <w:rFonts w:hint="eastAsia" w:ascii="宋体" w:hAnsi="宋体" w:cs="宋体"/>
          <w:b/>
          <w:bCs/>
          <w:sz w:val="24"/>
          <w:szCs w:val="24"/>
          <w:highlight w:val="none"/>
        </w:rPr>
      </w:pPr>
      <w:bookmarkStart w:id="98" w:name="_Toc389586470"/>
      <w:r>
        <w:rPr>
          <w:rFonts w:hint="eastAsia" w:ascii="宋体" w:hAnsi="宋体" w:cs="宋体"/>
          <w:b/>
          <w:bCs/>
          <w:sz w:val="24"/>
          <w:szCs w:val="24"/>
          <w:highlight w:val="none"/>
        </w:rPr>
        <w:t>14.1 试车的组织和配合</w:t>
      </w:r>
      <w:bookmarkEnd w:id="98"/>
    </w:p>
    <w:p w14:paraId="42664D6A">
      <w:pPr>
        <w:wordWrap w:val="0"/>
        <w:adjustRightInd w:val="0"/>
        <w:snapToGrid w:val="0"/>
        <w:spacing w:line="500" w:lineRule="exact"/>
        <w:ind w:firstLine="480" w:firstLineChars="200"/>
        <w:jc w:val="left"/>
        <w:rPr>
          <w:rFonts w:hint="eastAsia" w:ascii="宋体" w:hAnsi="宋体" w:cs="宋体"/>
          <w:kern w:val="0"/>
          <w:sz w:val="24"/>
          <w:szCs w:val="24"/>
          <w:highlight w:val="none"/>
          <w:u w:val="single"/>
        </w:rPr>
      </w:pPr>
      <w:r>
        <w:rPr>
          <w:rFonts w:hint="eastAsia" w:ascii="宋体" w:hAnsi="宋体" w:cs="宋体"/>
          <w:kern w:val="0"/>
          <w:sz w:val="24"/>
          <w:szCs w:val="24"/>
          <w:highlight w:val="none"/>
        </w:rPr>
        <w:t>关于试车内容的约定：</w:t>
      </w:r>
      <w:r>
        <w:rPr>
          <w:rFonts w:hint="eastAsia" w:ascii="宋体" w:hAnsi="宋体" w:cs="宋体"/>
          <w:kern w:val="0"/>
          <w:sz w:val="24"/>
          <w:szCs w:val="24"/>
          <w:highlight w:val="none"/>
          <w:u w:val="single"/>
        </w:rPr>
        <w:t xml:space="preserve">  分包工程需要试车的，试车内容应与分包人承包范围相一致。</w:t>
      </w:r>
    </w:p>
    <w:p w14:paraId="69B4A53C">
      <w:pPr>
        <w:spacing w:line="500" w:lineRule="exact"/>
        <w:ind w:firstLine="482" w:firstLineChars="200"/>
        <w:rPr>
          <w:rFonts w:hint="eastAsia" w:ascii="宋体" w:hAnsi="宋体" w:cs="宋体"/>
          <w:b/>
          <w:bCs/>
          <w:sz w:val="24"/>
          <w:szCs w:val="24"/>
          <w:highlight w:val="none"/>
        </w:rPr>
      </w:pPr>
      <w:bookmarkStart w:id="99" w:name="_Toc389586471"/>
      <w:r>
        <w:rPr>
          <w:rFonts w:hint="eastAsia" w:ascii="宋体" w:hAnsi="宋体" w:cs="宋体"/>
          <w:b/>
          <w:bCs/>
          <w:sz w:val="24"/>
          <w:szCs w:val="24"/>
          <w:highlight w:val="none"/>
        </w:rPr>
        <w:t>14.2 试车的费用承担</w:t>
      </w:r>
      <w:bookmarkEnd w:id="99"/>
    </w:p>
    <w:p w14:paraId="5233E4CF">
      <w:pPr>
        <w:wordWrap w:val="0"/>
        <w:adjustRightInd w:val="0"/>
        <w:snapToGrid w:val="0"/>
        <w:spacing w:line="500" w:lineRule="exact"/>
        <w:ind w:firstLine="480" w:firstLineChars="200"/>
        <w:jc w:val="left"/>
        <w:rPr>
          <w:rFonts w:hint="eastAsia" w:ascii="宋体" w:hAnsi="宋体" w:cs="宋体"/>
          <w:kern w:val="0"/>
          <w:sz w:val="24"/>
          <w:szCs w:val="24"/>
          <w:highlight w:val="none"/>
        </w:rPr>
      </w:pPr>
      <w:r>
        <w:rPr>
          <w:rFonts w:hint="eastAsia" w:ascii="宋体" w:hAnsi="宋体" w:cs="宋体"/>
          <w:kern w:val="0"/>
          <w:sz w:val="24"/>
          <w:szCs w:val="24"/>
          <w:highlight w:val="none"/>
        </w:rPr>
        <w:t>关于试车费用明细及试车费用承担的约定：</w:t>
      </w:r>
      <w:r>
        <w:rPr>
          <w:rFonts w:hint="eastAsia" w:ascii="宋体" w:hAnsi="宋体" w:cs="宋体"/>
          <w:kern w:val="0"/>
          <w:sz w:val="24"/>
          <w:szCs w:val="24"/>
          <w:highlight w:val="none"/>
          <w:u w:val="single"/>
        </w:rPr>
        <w:t xml:space="preserve">                  </w:t>
      </w:r>
      <w:r>
        <w:rPr>
          <w:rFonts w:hint="eastAsia" w:ascii="宋体" w:hAnsi="宋体" w:cs="宋体"/>
          <w:kern w:val="0"/>
          <w:sz w:val="24"/>
          <w:szCs w:val="24"/>
          <w:highlight w:val="none"/>
        </w:rPr>
        <w:t>。</w:t>
      </w:r>
    </w:p>
    <w:p w14:paraId="2BDDB643">
      <w:pPr>
        <w:spacing w:line="500" w:lineRule="exact"/>
        <w:ind w:firstLine="482" w:firstLineChars="200"/>
        <w:rPr>
          <w:rFonts w:hint="eastAsia" w:ascii="宋体" w:hAnsi="宋体" w:cs="宋体"/>
          <w:b/>
          <w:bCs/>
          <w:sz w:val="24"/>
          <w:szCs w:val="24"/>
          <w:highlight w:val="none"/>
        </w:rPr>
      </w:pPr>
      <w:bookmarkStart w:id="100" w:name="_Toc389586472"/>
      <w:r>
        <w:rPr>
          <w:rFonts w:hint="eastAsia" w:ascii="宋体" w:hAnsi="宋体" w:cs="宋体"/>
          <w:b/>
          <w:bCs/>
          <w:sz w:val="24"/>
          <w:szCs w:val="24"/>
          <w:highlight w:val="none"/>
        </w:rPr>
        <w:t>15. 验收</w:t>
      </w:r>
      <w:bookmarkEnd w:id="100"/>
      <w:r>
        <w:rPr>
          <w:rFonts w:hint="eastAsia" w:ascii="宋体" w:hAnsi="宋体" w:cs="宋体"/>
          <w:b/>
          <w:bCs/>
          <w:sz w:val="24"/>
          <w:szCs w:val="24"/>
          <w:highlight w:val="none"/>
        </w:rPr>
        <w:t>与交付</w:t>
      </w:r>
    </w:p>
    <w:p w14:paraId="73A5F2BE">
      <w:pPr>
        <w:spacing w:line="500" w:lineRule="exact"/>
        <w:ind w:firstLine="482" w:firstLineChars="200"/>
        <w:rPr>
          <w:rFonts w:hint="eastAsia" w:ascii="宋体" w:hAnsi="宋体" w:cs="宋体"/>
          <w:b/>
          <w:bCs/>
          <w:sz w:val="24"/>
          <w:szCs w:val="24"/>
          <w:highlight w:val="none"/>
        </w:rPr>
      </w:pPr>
      <w:bookmarkStart w:id="101" w:name="_Toc389663590"/>
      <w:r>
        <w:rPr>
          <w:rFonts w:hint="eastAsia" w:ascii="宋体" w:hAnsi="宋体" w:cs="宋体"/>
          <w:b/>
          <w:bCs/>
          <w:sz w:val="24"/>
          <w:szCs w:val="24"/>
          <w:highlight w:val="none"/>
        </w:rPr>
        <w:t xml:space="preserve">15.1 </w:t>
      </w:r>
      <w:bookmarkEnd w:id="101"/>
      <w:r>
        <w:rPr>
          <w:rFonts w:hint="eastAsia" w:ascii="宋体" w:hAnsi="宋体" w:cs="宋体"/>
          <w:b/>
          <w:bCs/>
          <w:sz w:val="24"/>
          <w:szCs w:val="24"/>
          <w:highlight w:val="none"/>
        </w:rPr>
        <w:t>验收</w:t>
      </w:r>
    </w:p>
    <w:p w14:paraId="405E4B06">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15.1.1 中间验收：</w:t>
      </w:r>
      <w:r>
        <w:rPr>
          <w:rFonts w:hint="eastAsia" w:ascii="宋体" w:hAnsi="宋体" w:cs="宋体"/>
          <w:kern w:val="0"/>
          <w:sz w:val="24"/>
          <w:szCs w:val="24"/>
          <w:highlight w:val="none"/>
          <w:u w:val="single"/>
        </w:rPr>
        <w:t>分包人自检合格后，应提前48小时通知承包人，承包人应及时报建设单位组织有关人员验收。</w:t>
      </w:r>
    </w:p>
    <w:p w14:paraId="7C710383">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15.1.2 竣工验收：分包人在分包工程具备竣工条件后向承包人提供竣工验收报告，承包人应在收到分包人提供的竣工验收报告日起</w:t>
      </w:r>
      <w:r>
        <w:rPr>
          <w:rFonts w:hint="eastAsia" w:ascii="宋体" w:hAnsi="宋体" w:cs="宋体"/>
          <w:sz w:val="24"/>
          <w:szCs w:val="24"/>
          <w:highlight w:val="none"/>
          <w:u w:val="single"/>
        </w:rPr>
        <w:t xml:space="preserve"> 14 </w:t>
      </w:r>
      <w:r>
        <w:rPr>
          <w:rFonts w:hint="eastAsia" w:ascii="宋体" w:hAnsi="宋体" w:cs="宋体"/>
          <w:sz w:val="24"/>
          <w:szCs w:val="24"/>
          <w:highlight w:val="none"/>
        </w:rPr>
        <w:t>日内通知发包人验收，分包人应配合承包人进行验收；根据总包合同无需由发包人验收的部分，承包人应按照总包合同约定的验收程序自行验收。</w:t>
      </w:r>
    </w:p>
    <w:p w14:paraId="16A0ACBB">
      <w:pPr>
        <w:spacing w:line="500" w:lineRule="exact"/>
        <w:ind w:firstLine="480" w:firstLineChars="200"/>
        <w:rPr>
          <w:rFonts w:hint="eastAsia" w:ascii="宋体" w:hAnsi="宋体" w:cs="宋体"/>
          <w:i/>
          <w:sz w:val="24"/>
          <w:szCs w:val="24"/>
          <w:highlight w:val="none"/>
          <w:u w:val="single"/>
        </w:rPr>
      </w:pPr>
      <w:r>
        <w:rPr>
          <w:rFonts w:hint="eastAsia" w:ascii="宋体" w:hAnsi="宋体" w:cs="宋体"/>
          <w:sz w:val="24"/>
          <w:szCs w:val="24"/>
          <w:highlight w:val="none"/>
        </w:rPr>
        <w:t>15.1.3 分包人质量不合格，应承担的违约责任为：</w:t>
      </w:r>
      <w:r>
        <w:rPr>
          <w:rFonts w:hint="eastAsia" w:ascii="宋体" w:hAnsi="宋体" w:cs="宋体"/>
          <w:sz w:val="24"/>
          <w:szCs w:val="24"/>
          <w:highlight w:val="none"/>
          <w:u w:val="single"/>
        </w:rPr>
        <w:t>分包人负责无偿整改，</w:t>
      </w:r>
      <w:r>
        <w:rPr>
          <w:rFonts w:hint="eastAsia" w:ascii="宋体" w:hAnsi="宋体" w:cs="宋体"/>
          <w:bCs/>
          <w:sz w:val="24"/>
          <w:szCs w:val="24"/>
          <w:highlight w:val="none"/>
          <w:u w:val="single"/>
        </w:rPr>
        <w:t>作业期限不予延长，并承担由此导致的承包人损失。</w:t>
      </w:r>
      <w:r>
        <w:rPr>
          <w:rFonts w:hint="eastAsia" w:ascii="宋体" w:hAnsi="宋体" w:cs="宋体"/>
          <w:sz w:val="24"/>
          <w:szCs w:val="24"/>
          <w:highlight w:val="none"/>
          <w:u w:val="single"/>
        </w:rPr>
        <w:t>分包人因自身原因无法完成整改的，承包人可以委派其他劳务单位完成，产生的费用由分包人承担。分包人整改后质量仍不合格的，承包人可以单方解除合同，并向承包人支付违约金。违约金计算方法：返修、返工费用以及发包人因工程质量处罚承包人的费用之和的1倍。承包人有权在应支付分包人的工程进度款中扣除分包人应付的违约金。</w:t>
      </w:r>
    </w:p>
    <w:p w14:paraId="2D0F4A64">
      <w:pPr>
        <w:spacing w:line="500" w:lineRule="exact"/>
        <w:ind w:firstLine="482" w:firstLineChars="200"/>
        <w:rPr>
          <w:rFonts w:hint="eastAsia" w:ascii="宋体" w:hAnsi="宋体" w:cs="宋体"/>
          <w:b/>
          <w:bCs/>
          <w:sz w:val="24"/>
          <w:szCs w:val="24"/>
          <w:highlight w:val="none"/>
        </w:rPr>
      </w:pPr>
      <w:bookmarkStart w:id="102" w:name="_Toc389586475"/>
      <w:r>
        <w:rPr>
          <w:rFonts w:hint="eastAsia" w:ascii="宋体" w:hAnsi="宋体" w:cs="宋体"/>
          <w:b/>
          <w:bCs/>
          <w:sz w:val="24"/>
          <w:szCs w:val="24"/>
          <w:highlight w:val="none"/>
        </w:rPr>
        <w:t>15.2 完工日期</w:t>
      </w:r>
      <w:bookmarkEnd w:id="102"/>
    </w:p>
    <w:p w14:paraId="3EA5AA9B">
      <w:pPr>
        <w:spacing w:line="500" w:lineRule="exact"/>
        <w:ind w:firstLine="480" w:firstLineChars="200"/>
        <w:rPr>
          <w:rFonts w:hint="eastAsia" w:ascii="宋体" w:hAnsi="宋体" w:cs="宋体"/>
          <w:i/>
          <w:sz w:val="24"/>
          <w:szCs w:val="24"/>
          <w:highlight w:val="none"/>
          <w:u w:val="single"/>
        </w:rPr>
      </w:pPr>
      <w:r>
        <w:rPr>
          <w:rFonts w:hint="eastAsia" w:ascii="宋体" w:hAnsi="宋体" w:cs="宋体"/>
          <w:kern w:val="0"/>
          <w:sz w:val="24"/>
          <w:szCs w:val="24"/>
          <w:highlight w:val="none"/>
        </w:rPr>
        <w:t>分包工程自完工验收合格至移交承包人的期间未能保持质量合格状态的，分包人应承担的违约责任：</w:t>
      </w:r>
      <w:r>
        <w:rPr>
          <w:rFonts w:hint="eastAsia" w:ascii="宋体" w:hAnsi="宋体" w:cs="宋体"/>
          <w:sz w:val="24"/>
          <w:szCs w:val="24"/>
          <w:highlight w:val="none"/>
          <w:u w:val="single"/>
        </w:rPr>
        <w:t>分包人负责无偿整改</w:t>
      </w:r>
      <w:r>
        <w:rPr>
          <w:rFonts w:hint="eastAsia" w:ascii="宋体" w:hAnsi="宋体" w:cs="宋体"/>
          <w:bCs/>
          <w:sz w:val="24"/>
          <w:szCs w:val="24"/>
          <w:highlight w:val="none"/>
          <w:u w:val="single"/>
        </w:rPr>
        <w:t>，并承担由此导致的承包人损失。</w:t>
      </w:r>
      <w:r>
        <w:rPr>
          <w:rFonts w:hint="eastAsia" w:ascii="宋体" w:hAnsi="宋体" w:cs="宋体"/>
          <w:sz w:val="24"/>
          <w:szCs w:val="24"/>
          <w:highlight w:val="none"/>
          <w:u w:val="single"/>
        </w:rPr>
        <w:t>分包人因自身原因无法完成整改的，承包人可以委派第三方单位完成，产生的费用由分包人承担，并向承包人支付违约金。违约金计算方法：返修、返工费用以及发包人因工程质量处罚承包人的费用之和。承包人有权在应支付分包人的工程进度款中扣除分包人应交付的违约金</w:t>
      </w:r>
      <w:r>
        <w:rPr>
          <w:rFonts w:hint="eastAsia" w:ascii="宋体" w:hAnsi="宋体" w:cs="宋体"/>
          <w:sz w:val="24"/>
          <w:szCs w:val="24"/>
          <w:highlight w:val="none"/>
        </w:rPr>
        <w:t>。</w:t>
      </w:r>
    </w:p>
    <w:p w14:paraId="748ED2B3">
      <w:pPr>
        <w:spacing w:line="500" w:lineRule="exact"/>
        <w:ind w:firstLine="482" w:firstLineChars="200"/>
        <w:rPr>
          <w:rFonts w:hint="eastAsia" w:ascii="宋体" w:hAnsi="宋体" w:cs="宋体"/>
          <w:b/>
          <w:bCs/>
          <w:sz w:val="24"/>
          <w:szCs w:val="24"/>
          <w:highlight w:val="none"/>
        </w:rPr>
      </w:pPr>
      <w:bookmarkStart w:id="103" w:name="_Toc389586476"/>
      <w:r>
        <w:rPr>
          <w:rFonts w:hint="eastAsia" w:ascii="宋体" w:hAnsi="宋体" w:cs="宋体"/>
          <w:b/>
          <w:bCs/>
          <w:sz w:val="24"/>
          <w:szCs w:val="24"/>
          <w:highlight w:val="none"/>
        </w:rPr>
        <w:t>15.3 完工退场</w:t>
      </w:r>
      <w:bookmarkEnd w:id="103"/>
    </w:p>
    <w:p w14:paraId="2636076D">
      <w:pPr>
        <w:wordWrap w:val="0"/>
        <w:adjustRightInd w:val="0"/>
        <w:snapToGrid w:val="0"/>
        <w:spacing w:line="500" w:lineRule="exact"/>
        <w:ind w:firstLine="480" w:firstLineChars="200"/>
        <w:jc w:val="left"/>
        <w:rPr>
          <w:rFonts w:hint="eastAsia" w:ascii="宋体" w:hAnsi="宋体" w:cs="宋体"/>
          <w:kern w:val="0"/>
          <w:sz w:val="24"/>
          <w:szCs w:val="24"/>
          <w:highlight w:val="none"/>
        </w:rPr>
      </w:pPr>
      <w:r>
        <w:rPr>
          <w:rFonts w:hint="eastAsia" w:ascii="宋体" w:hAnsi="宋体" w:cs="宋体"/>
          <w:kern w:val="0"/>
          <w:sz w:val="24"/>
          <w:szCs w:val="24"/>
          <w:highlight w:val="none"/>
        </w:rPr>
        <w:t>分包人对施工场地进行清理并退场的期限：</w:t>
      </w:r>
      <w:r>
        <w:rPr>
          <w:rFonts w:hint="eastAsia" w:ascii="宋体" w:hAnsi="宋体" w:cs="宋体"/>
          <w:kern w:val="0"/>
          <w:sz w:val="24"/>
          <w:szCs w:val="24"/>
          <w:highlight w:val="none"/>
          <w:u w:val="single"/>
        </w:rPr>
        <w:t xml:space="preserve">  分包工程验收合格，分包人接到承包人退场指令后的7天内退场。</w:t>
      </w:r>
      <w:r>
        <w:rPr>
          <w:rFonts w:hint="eastAsia" w:ascii="宋体" w:hAnsi="宋体" w:cs="宋体"/>
          <w:sz w:val="24"/>
          <w:szCs w:val="24"/>
          <w:highlight w:val="none"/>
          <w:u w:val="single"/>
        </w:rPr>
        <w:t xml:space="preserve">每延误一天分包人承担签约合同总价万分之一的违约金，连续延误超过10天，加倍处罚  </w:t>
      </w:r>
      <w:r>
        <w:rPr>
          <w:rFonts w:hint="eastAsia" w:ascii="宋体" w:hAnsi="宋体" w:cs="宋体"/>
          <w:kern w:val="0"/>
          <w:sz w:val="24"/>
          <w:szCs w:val="24"/>
          <w:highlight w:val="none"/>
        </w:rPr>
        <w:t>。</w:t>
      </w:r>
    </w:p>
    <w:p w14:paraId="01C7B7BE">
      <w:pP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15.4  退场承诺书</w:t>
      </w:r>
    </w:p>
    <w:p w14:paraId="65E0B103">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u w:val="single"/>
        </w:rPr>
        <w:t xml:space="preserve">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      ）自愿承担一切法律和经济责任 </w:t>
      </w:r>
      <w:r>
        <w:rPr>
          <w:rFonts w:hint="eastAsia" w:ascii="宋体" w:hAnsi="宋体" w:cs="宋体"/>
          <w:sz w:val="24"/>
          <w:szCs w:val="24"/>
          <w:highlight w:val="none"/>
        </w:rPr>
        <w:t>。</w:t>
      </w:r>
    </w:p>
    <w:p w14:paraId="77F3BABF">
      <w:pPr>
        <w:spacing w:line="500" w:lineRule="exact"/>
        <w:ind w:firstLine="482" w:firstLineChars="200"/>
        <w:rPr>
          <w:rFonts w:hint="eastAsia" w:ascii="宋体" w:hAnsi="宋体" w:cs="宋体"/>
          <w:b/>
          <w:bCs/>
          <w:sz w:val="24"/>
          <w:szCs w:val="24"/>
          <w:highlight w:val="none"/>
        </w:rPr>
      </w:pPr>
      <w:bookmarkStart w:id="104" w:name="_Toc389586477"/>
      <w:r>
        <w:rPr>
          <w:rFonts w:hint="eastAsia" w:ascii="宋体" w:hAnsi="宋体" w:cs="宋体"/>
          <w:b/>
          <w:bCs/>
          <w:sz w:val="24"/>
          <w:szCs w:val="24"/>
          <w:highlight w:val="none"/>
        </w:rPr>
        <w:t>16. 分包工程移交</w:t>
      </w:r>
      <w:bookmarkEnd w:id="104"/>
    </w:p>
    <w:p w14:paraId="5C502F7D">
      <w:pPr>
        <w:spacing w:line="500" w:lineRule="exact"/>
        <w:ind w:firstLine="482" w:firstLineChars="200"/>
        <w:rPr>
          <w:rFonts w:hint="eastAsia" w:ascii="宋体" w:hAnsi="宋体" w:cs="宋体"/>
          <w:b/>
          <w:bCs/>
          <w:sz w:val="24"/>
          <w:szCs w:val="24"/>
          <w:highlight w:val="none"/>
        </w:rPr>
      </w:pPr>
      <w:bookmarkStart w:id="105" w:name="_Toc389586478"/>
      <w:r>
        <w:rPr>
          <w:rFonts w:hint="eastAsia" w:ascii="宋体" w:hAnsi="宋体" w:cs="宋体"/>
          <w:b/>
          <w:bCs/>
          <w:sz w:val="24"/>
          <w:szCs w:val="24"/>
          <w:highlight w:val="none"/>
        </w:rPr>
        <w:t>16.1 分包工程移交时间</w:t>
      </w:r>
      <w:bookmarkEnd w:id="105"/>
    </w:p>
    <w:p w14:paraId="0B3AC33A">
      <w:pPr>
        <w:spacing w:line="500" w:lineRule="exact"/>
        <w:ind w:firstLine="480" w:firstLineChars="200"/>
        <w:rPr>
          <w:rFonts w:hint="eastAsia" w:ascii="宋体" w:hAnsi="宋体" w:cs="宋体"/>
          <w:i/>
          <w:sz w:val="24"/>
          <w:szCs w:val="24"/>
          <w:highlight w:val="none"/>
          <w:u w:val="single"/>
        </w:rPr>
      </w:pPr>
      <w:r>
        <w:rPr>
          <w:rFonts w:hint="eastAsia" w:ascii="宋体" w:hAnsi="宋体" w:cs="宋体"/>
          <w:sz w:val="24"/>
          <w:szCs w:val="24"/>
          <w:highlight w:val="none"/>
        </w:rPr>
        <w:t>承包人</w:t>
      </w:r>
      <w:r>
        <w:rPr>
          <w:rFonts w:hint="eastAsia" w:ascii="宋体" w:hAnsi="宋体" w:cs="宋体"/>
          <w:kern w:val="0"/>
          <w:sz w:val="24"/>
          <w:szCs w:val="24"/>
          <w:highlight w:val="none"/>
        </w:rPr>
        <w:t>向分包人颁发分包工程接收证书的期限：</w:t>
      </w:r>
      <w:r>
        <w:rPr>
          <w:rFonts w:hint="eastAsia" w:ascii="宋体" w:hAnsi="宋体" w:cs="宋体"/>
          <w:kern w:val="0"/>
          <w:sz w:val="24"/>
          <w:szCs w:val="24"/>
          <w:highlight w:val="none"/>
          <w:u w:val="single"/>
        </w:rPr>
        <w:t xml:space="preserve">  对于提前使用的分包工程，承包人应于分包工程完工验收合格后14天内向分包人颁发接收证书；对于其他分包工程，承包人应于总包工程竣工验收合格后14天内向分包人颁发分包工程接收证书 。分包人</w:t>
      </w:r>
      <w:r>
        <w:rPr>
          <w:rFonts w:hint="eastAsia" w:ascii="宋体" w:hAnsi="宋体" w:cs="宋体"/>
          <w:sz w:val="24"/>
          <w:szCs w:val="24"/>
          <w:highlight w:val="none"/>
          <w:u w:val="single"/>
        </w:rPr>
        <w:t>不得以双方存在争议为由拒绝将该分包工程交付承包人</w:t>
      </w:r>
      <w:r>
        <w:rPr>
          <w:rFonts w:hint="eastAsia" w:ascii="宋体" w:hAnsi="宋体" w:cs="宋体"/>
          <w:sz w:val="24"/>
          <w:szCs w:val="24"/>
          <w:highlight w:val="none"/>
        </w:rPr>
        <w:t>。</w:t>
      </w:r>
    </w:p>
    <w:p w14:paraId="6860425D">
      <w:pPr>
        <w:adjustRightInd w:val="0"/>
        <w:snapToGrid w:val="0"/>
        <w:spacing w:line="500" w:lineRule="exact"/>
        <w:ind w:firstLine="480"/>
        <w:rPr>
          <w:rFonts w:hint="eastAsia" w:ascii="宋体" w:hAnsi="宋体" w:cs="宋体"/>
          <w:kern w:val="0"/>
          <w:sz w:val="24"/>
          <w:szCs w:val="24"/>
          <w:highlight w:val="none"/>
          <w:u w:val="single"/>
        </w:rPr>
      </w:pPr>
      <w:r>
        <w:rPr>
          <w:rFonts w:hint="eastAsia" w:ascii="宋体" w:hAnsi="宋体" w:cs="宋体"/>
          <w:kern w:val="0"/>
          <w:sz w:val="24"/>
          <w:szCs w:val="24"/>
          <w:highlight w:val="none"/>
        </w:rPr>
        <w:t>合同当事人完成分包工程以及全部工程资料移交的期限：</w:t>
      </w:r>
      <w:r>
        <w:rPr>
          <w:rFonts w:hint="eastAsia" w:ascii="宋体" w:hAnsi="宋体" w:cs="宋体"/>
          <w:kern w:val="0"/>
          <w:sz w:val="24"/>
          <w:szCs w:val="24"/>
          <w:highlight w:val="none"/>
          <w:u w:val="single"/>
        </w:rPr>
        <w:t>分包人应当在承包人接收分包工程后7天内完成分包工程全部工程资料的移交</w:t>
      </w:r>
      <w:r>
        <w:rPr>
          <w:rFonts w:hint="eastAsia" w:ascii="宋体" w:hAnsi="宋体" w:cs="宋体"/>
          <w:kern w:val="0"/>
          <w:sz w:val="24"/>
          <w:szCs w:val="24"/>
          <w:highlight w:val="none"/>
        </w:rPr>
        <w:t>。</w:t>
      </w:r>
    </w:p>
    <w:p w14:paraId="4FDECFC3">
      <w:pPr>
        <w:adjustRightInd w:val="0"/>
        <w:snapToGrid w:val="0"/>
        <w:spacing w:line="500" w:lineRule="exact"/>
        <w:ind w:firstLine="480"/>
        <w:rPr>
          <w:rFonts w:hint="eastAsia" w:ascii="宋体" w:hAnsi="宋体" w:cs="宋体"/>
          <w:kern w:val="0"/>
          <w:sz w:val="24"/>
          <w:szCs w:val="24"/>
          <w:highlight w:val="none"/>
        </w:rPr>
      </w:pPr>
      <w:r>
        <w:rPr>
          <w:rFonts w:hint="eastAsia" w:ascii="宋体" w:hAnsi="宋体" w:cs="宋体"/>
          <w:kern w:val="0"/>
          <w:sz w:val="24"/>
          <w:szCs w:val="24"/>
          <w:highlight w:val="none"/>
        </w:rPr>
        <w:t>工程资料的套数、内容：</w:t>
      </w:r>
      <w:r>
        <w:rPr>
          <w:rFonts w:hint="eastAsia" w:ascii="宋体" w:hAnsi="宋体" w:cs="宋体"/>
          <w:kern w:val="0"/>
          <w:sz w:val="24"/>
          <w:szCs w:val="24"/>
          <w:highlight w:val="none"/>
          <w:u w:val="single"/>
        </w:rPr>
        <w:t xml:space="preserve">                          </w:t>
      </w:r>
      <w:r>
        <w:rPr>
          <w:rFonts w:hint="eastAsia" w:ascii="宋体" w:hAnsi="宋体" w:cs="宋体"/>
          <w:kern w:val="0"/>
          <w:sz w:val="24"/>
          <w:szCs w:val="24"/>
          <w:highlight w:val="none"/>
        </w:rPr>
        <w:t>。</w:t>
      </w:r>
    </w:p>
    <w:p w14:paraId="31D54DD9">
      <w:pPr>
        <w:spacing w:line="500" w:lineRule="exact"/>
        <w:ind w:firstLine="482" w:firstLineChars="200"/>
        <w:rPr>
          <w:rFonts w:hint="eastAsia" w:ascii="宋体" w:hAnsi="宋体" w:cs="宋体"/>
          <w:b/>
          <w:bCs/>
          <w:sz w:val="24"/>
          <w:szCs w:val="24"/>
          <w:highlight w:val="none"/>
        </w:rPr>
      </w:pPr>
      <w:bookmarkStart w:id="106" w:name="_Toc389586388"/>
      <w:r>
        <w:rPr>
          <w:rFonts w:hint="eastAsia" w:ascii="宋体" w:hAnsi="宋体" w:cs="宋体"/>
          <w:b/>
          <w:bCs/>
          <w:sz w:val="24"/>
          <w:szCs w:val="24"/>
          <w:highlight w:val="none"/>
        </w:rPr>
        <w:t>16.2 拒绝接收全部或部分分包工程</w:t>
      </w:r>
      <w:bookmarkEnd w:id="106"/>
    </w:p>
    <w:p w14:paraId="5F1847C9">
      <w:pPr>
        <w:autoSpaceDE w:val="0"/>
        <w:autoSpaceDN w:val="0"/>
        <w:adjustRightInd w:val="0"/>
        <w:snapToGrid w:val="0"/>
        <w:spacing w:line="500" w:lineRule="exact"/>
        <w:ind w:firstLine="480" w:firstLineChars="200"/>
        <w:jc w:val="left"/>
        <w:rPr>
          <w:rFonts w:hint="eastAsia" w:ascii="宋体" w:hAnsi="宋体" w:cs="宋体"/>
          <w:kern w:val="0"/>
          <w:sz w:val="24"/>
          <w:szCs w:val="24"/>
          <w:highlight w:val="none"/>
        </w:rPr>
      </w:pPr>
      <w:r>
        <w:rPr>
          <w:rFonts w:hint="eastAsia" w:ascii="宋体" w:hAnsi="宋体" w:cs="宋体"/>
          <w:kern w:val="0"/>
          <w:sz w:val="24"/>
          <w:szCs w:val="24"/>
          <w:highlight w:val="none"/>
        </w:rPr>
        <w:t>对于完工验收不合格的分包工程，分包人完成整改后，经重新组织验收仍不合格且无法采取补救措施的，承包人可以拒绝接收，由此给承包人造成的损失由分包人承担。</w:t>
      </w:r>
    </w:p>
    <w:p w14:paraId="4186CE93">
      <w:pPr>
        <w:spacing w:line="500" w:lineRule="exact"/>
        <w:ind w:firstLine="482" w:firstLineChars="200"/>
        <w:rPr>
          <w:rFonts w:hint="eastAsia" w:ascii="宋体" w:hAnsi="宋体" w:cs="宋体"/>
          <w:b/>
          <w:bCs/>
          <w:sz w:val="24"/>
          <w:szCs w:val="24"/>
          <w:highlight w:val="none"/>
        </w:rPr>
      </w:pPr>
      <w:bookmarkStart w:id="107" w:name="_Toc389586479"/>
      <w:r>
        <w:rPr>
          <w:rFonts w:hint="eastAsia" w:ascii="宋体" w:hAnsi="宋体" w:cs="宋体"/>
          <w:b/>
          <w:bCs/>
          <w:sz w:val="24"/>
          <w:szCs w:val="24"/>
          <w:highlight w:val="none"/>
        </w:rPr>
        <w:t>17. 结算</w:t>
      </w:r>
      <w:bookmarkEnd w:id="107"/>
    </w:p>
    <w:p w14:paraId="6BAFAE19">
      <w:pPr>
        <w:spacing w:line="500" w:lineRule="exact"/>
        <w:ind w:firstLine="482" w:firstLineChars="200"/>
        <w:rPr>
          <w:rFonts w:hint="eastAsia" w:ascii="宋体" w:hAnsi="宋体" w:cs="宋体"/>
          <w:b/>
          <w:bCs/>
          <w:sz w:val="24"/>
          <w:szCs w:val="24"/>
          <w:highlight w:val="none"/>
        </w:rPr>
      </w:pPr>
      <w:bookmarkStart w:id="108" w:name="_Toc389586480"/>
      <w:r>
        <w:rPr>
          <w:rFonts w:hint="eastAsia" w:ascii="宋体" w:hAnsi="宋体" w:cs="宋体"/>
          <w:b/>
          <w:bCs/>
          <w:sz w:val="24"/>
          <w:szCs w:val="24"/>
          <w:highlight w:val="none"/>
        </w:rPr>
        <w:t>17.1 结算申请</w:t>
      </w:r>
      <w:bookmarkEnd w:id="108"/>
    </w:p>
    <w:p w14:paraId="4DB6E6F9">
      <w:pPr>
        <w:spacing w:line="500" w:lineRule="exact"/>
        <w:ind w:firstLine="480"/>
        <w:rPr>
          <w:rFonts w:hint="eastAsia" w:ascii="宋体" w:hAnsi="宋体" w:cs="宋体"/>
          <w:sz w:val="24"/>
          <w:szCs w:val="24"/>
          <w:highlight w:val="none"/>
          <w:u w:val="single"/>
        </w:rPr>
      </w:pPr>
      <w:r>
        <w:rPr>
          <w:rFonts w:hint="eastAsia" w:ascii="宋体" w:hAnsi="宋体" w:cs="宋体"/>
          <w:sz w:val="24"/>
          <w:szCs w:val="24"/>
          <w:highlight w:val="none"/>
        </w:rPr>
        <w:t>分包人提交分包工程结算申请单的期限：</w:t>
      </w:r>
      <w:r>
        <w:rPr>
          <w:rFonts w:hint="eastAsia" w:ascii="宋体" w:hAnsi="宋体" w:cs="宋体"/>
          <w:sz w:val="24"/>
          <w:szCs w:val="24"/>
          <w:highlight w:val="none"/>
          <w:u w:val="single"/>
        </w:rPr>
        <w:t>分包工程竣工验收合格后14日内分包人必须将完整的完工结算书（包括与此有关的所有结算资料）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w:t>
      </w:r>
    </w:p>
    <w:p w14:paraId="7CC7BBE4">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分包工程结算申请单需要的资料清单和份数：</w:t>
      </w:r>
      <w:r>
        <w:rPr>
          <w:rFonts w:hint="eastAsia" w:ascii="宋体" w:hAnsi="宋体" w:cs="宋体"/>
          <w:sz w:val="24"/>
          <w:szCs w:val="24"/>
          <w:highlight w:val="none"/>
          <w:u w:val="single"/>
        </w:rPr>
        <w:t>1. 完整竣工资料2份；2. 竣工图1份。</w:t>
      </w:r>
    </w:p>
    <w:p w14:paraId="15800714">
      <w:pPr>
        <w:wordWrap w:val="0"/>
        <w:autoSpaceDE w:val="0"/>
        <w:autoSpaceDN w:val="0"/>
        <w:adjustRightInd w:val="0"/>
        <w:snapToGrid w:val="0"/>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rPr>
        <w:t>分包工程结算申请单应包括的内容：</w:t>
      </w:r>
      <w:r>
        <w:rPr>
          <w:rFonts w:hint="eastAsia" w:ascii="宋体" w:hAnsi="宋体" w:cs="宋体"/>
          <w:sz w:val="24"/>
          <w:szCs w:val="24"/>
          <w:highlight w:val="none"/>
          <w:u w:val="single"/>
        </w:rPr>
        <w:t xml:space="preserve">  （1）分包工程结算价格；（2）结算工程范围；（3）承包人已支付分包人的款项；（4）应扣留的质量保证金； （5）承包人应支付分包人的合同价款。</w:t>
      </w:r>
    </w:p>
    <w:p w14:paraId="6B9C3772">
      <w:pPr>
        <w:spacing w:line="500" w:lineRule="exact"/>
        <w:ind w:firstLine="482" w:firstLineChars="200"/>
        <w:rPr>
          <w:rFonts w:hint="eastAsia" w:ascii="宋体" w:hAnsi="宋体" w:cs="宋体"/>
          <w:b/>
          <w:bCs/>
          <w:sz w:val="24"/>
          <w:szCs w:val="24"/>
          <w:highlight w:val="none"/>
        </w:rPr>
      </w:pPr>
      <w:bookmarkStart w:id="109" w:name="_Toc389586481"/>
      <w:r>
        <w:rPr>
          <w:rFonts w:hint="eastAsia" w:ascii="宋体" w:hAnsi="宋体" w:cs="宋体"/>
          <w:b/>
          <w:bCs/>
          <w:sz w:val="24"/>
          <w:szCs w:val="24"/>
          <w:highlight w:val="none"/>
        </w:rPr>
        <w:t>17.2 结算审核</w:t>
      </w:r>
      <w:bookmarkEnd w:id="109"/>
    </w:p>
    <w:p w14:paraId="6307FE8F">
      <w:pPr>
        <w:spacing w:line="500" w:lineRule="exact"/>
        <w:ind w:firstLine="480"/>
        <w:rPr>
          <w:rFonts w:hint="eastAsia" w:ascii="宋体" w:hAnsi="宋体" w:cs="宋体"/>
          <w:sz w:val="24"/>
          <w:szCs w:val="24"/>
          <w:highlight w:val="none"/>
          <w:u w:val="single"/>
        </w:rPr>
      </w:pPr>
      <w:r>
        <w:rPr>
          <w:rFonts w:hint="eastAsia" w:ascii="宋体" w:hAnsi="宋体" w:cs="宋体"/>
          <w:sz w:val="24"/>
          <w:szCs w:val="24"/>
          <w:highlight w:val="none"/>
        </w:rPr>
        <w:t>17.2.1 承包人完成结算申请单审核并签发完工付款证书的期限：</w:t>
      </w:r>
      <w:r>
        <w:rPr>
          <w:rFonts w:hint="eastAsia" w:ascii="宋体" w:hAnsi="宋体" w:cs="宋体"/>
          <w:sz w:val="24"/>
          <w:szCs w:val="24"/>
          <w:highlight w:val="none"/>
          <w:u w:val="single"/>
        </w:rPr>
        <w:t>承包人应在审核完毕分包人结算书30日内签发竣工付款申请单。</w:t>
      </w:r>
    </w:p>
    <w:p w14:paraId="44BD8E63">
      <w:pPr>
        <w:wordWrap w:val="0"/>
        <w:adjustRightInd w:val="0"/>
        <w:snapToGrid w:val="0"/>
        <w:spacing w:line="500" w:lineRule="exact"/>
        <w:ind w:firstLine="480" w:firstLineChars="200"/>
        <w:jc w:val="left"/>
        <w:rPr>
          <w:rFonts w:hint="eastAsia" w:ascii="宋体" w:hAnsi="宋体" w:cs="宋体"/>
          <w:kern w:val="0"/>
          <w:sz w:val="24"/>
          <w:szCs w:val="24"/>
          <w:highlight w:val="none"/>
        </w:rPr>
      </w:pPr>
      <w:r>
        <w:rPr>
          <w:rFonts w:hint="eastAsia" w:ascii="宋体" w:hAnsi="宋体" w:cs="宋体"/>
          <w:kern w:val="0"/>
          <w:sz w:val="24"/>
          <w:szCs w:val="24"/>
          <w:highlight w:val="none"/>
        </w:rPr>
        <w:t>17.2.2 承包人完成完工付款的期限：</w:t>
      </w:r>
      <w:r>
        <w:rPr>
          <w:rFonts w:hint="eastAsia" w:ascii="宋体" w:hAnsi="宋体" w:cs="宋体"/>
          <w:kern w:val="0"/>
          <w:sz w:val="24"/>
          <w:szCs w:val="24"/>
          <w:highlight w:val="none"/>
          <w:u w:val="single"/>
        </w:rPr>
        <w:t xml:space="preserve">  双方协商确定。</w:t>
      </w:r>
    </w:p>
    <w:p w14:paraId="370C4F05">
      <w:pPr>
        <w:spacing w:line="500" w:lineRule="exact"/>
        <w:ind w:firstLine="482" w:firstLineChars="200"/>
        <w:rPr>
          <w:rFonts w:hint="eastAsia" w:ascii="宋体" w:hAnsi="宋体" w:cs="宋体"/>
          <w:b/>
          <w:bCs/>
          <w:sz w:val="24"/>
          <w:szCs w:val="24"/>
          <w:highlight w:val="none"/>
        </w:rPr>
      </w:pPr>
      <w:bookmarkStart w:id="110" w:name="_Toc389586482"/>
      <w:r>
        <w:rPr>
          <w:rFonts w:hint="eastAsia" w:ascii="宋体" w:hAnsi="宋体" w:cs="宋体"/>
          <w:b/>
          <w:bCs/>
          <w:sz w:val="24"/>
          <w:szCs w:val="24"/>
          <w:highlight w:val="none"/>
        </w:rPr>
        <w:t>17.3 最终结清</w:t>
      </w:r>
      <w:bookmarkEnd w:id="110"/>
    </w:p>
    <w:p w14:paraId="6E405199">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17.3.1 分包人提交最终结清申请单的期限：</w:t>
      </w:r>
      <w:r>
        <w:rPr>
          <w:rFonts w:hint="eastAsia" w:ascii="宋体" w:hAnsi="宋体" w:cs="宋体"/>
          <w:sz w:val="24"/>
          <w:szCs w:val="24"/>
          <w:highlight w:val="none"/>
          <w:u w:val="single"/>
        </w:rPr>
        <w:t xml:space="preserve">   工程竣工验收2年后   </w:t>
      </w:r>
      <w:r>
        <w:rPr>
          <w:rFonts w:hint="eastAsia" w:ascii="宋体" w:hAnsi="宋体" w:cs="宋体"/>
          <w:sz w:val="24"/>
          <w:szCs w:val="24"/>
          <w:highlight w:val="none"/>
        </w:rPr>
        <w:t>。</w:t>
      </w:r>
    </w:p>
    <w:p w14:paraId="3487522B">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分包人提交最终结清申请单的份数：</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46681190">
      <w:pPr>
        <w:wordWrap w:val="0"/>
        <w:adjustRightInd w:val="0"/>
        <w:snapToGrid w:val="0"/>
        <w:spacing w:line="500" w:lineRule="exact"/>
        <w:ind w:firstLine="480" w:firstLineChars="200"/>
        <w:jc w:val="left"/>
        <w:rPr>
          <w:rFonts w:hint="eastAsia" w:ascii="宋体" w:hAnsi="宋体" w:cs="宋体"/>
          <w:kern w:val="0"/>
          <w:sz w:val="24"/>
          <w:szCs w:val="24"/>
          <w:highlight w:val="none"/>
          <w:u w:val="single"/>
        </w:rPr>
      </w:pPr>
      <w:r>
        <w:rPr>
          <w:rFonts w:hint="eastAsia" w:ascii="宋体" w:hAnsi="宋体" w:cs="宋体"/>
          <w:kern w:val="0"/>
          <w:sz w:val="24"/>
          <w:szCs w:val="24"/>
          <w:highlight w:val="none"/>
        </w:rPr>
        <w:t>关于最终结清申请单内容的特殊约定：</w:t>
      </w:r>
      <w:r>
        <w:rPr>
          <w:rFonts w:hint="eastAsia" w:ascii="宋体" w:hAnsi="宋体" w:cs="宋体"/>
          <w:kern w:val="0"/>
          <w:sz w:val="24"/>
          <w:szCs w:val="24"/>
          <w:highlight w:val="none"/>
          <w:u w:val="single"/>
        </w:rPr>
        <w:t>最终结清申请单</w:t>
      </w:r>
      <w:r>
        <w:rPr>
          <w:rFonts w:hint="eastAsia" w:ascii="宋体" w:hAnsi="宋体" w:cs="宋体"/>
          <w:sz w:val="24"/>
          <w:szCs w:val="24"/>
          <w:highlight w:val="none"/>
          <w:u w:val="single"/>
        </w:rPr>
        <w:t>应列明质量保证金、应扣除的质量保证金、分包工程完工验收合格之日至缺陷责任期届满之日发生的增减费用。</w:t>
      </w:r>
    </w:p>
    <w:p w14:paraId="2176A844">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17.3.2 承包人完成最终结清申请单的审批并颁发最终结清证书的期限：</w:t>
      </w:r>
      <w:r>
        <w:rPr>
          <w:rFonts w:hint="eastAsia" w:ascii="宋体" w:hAnsi="宋体" w:cs="宋体"/>
          <w:sz w:val="24"/>
          <w:szCs w:val="24"/>
          <w:highlight w:val="none"/>
          <w:u w:val="single"/>
        </w:rPr>
        <w:t xml:space="preserve">  收到最终结清申请90日内。</w:t>
      </w:r>
    </w:p>
    <w:p w14:paraId="60220235">
      <w:pPr>
        <w:wordWrap w:val="0"/>
        <w:adjustRightInd w:val="0"/>
        <w:snapToGrid w:val="0"/>
        <w:spacing w:line="500" w:lineRule="exact"/>
        <w:ind w:firstLine="480" w:firstLineChars="200"/>
        <w:jc w:val="left"/>
        <w:rPr>
          <w:rFonts w:hint="eastAsia" w:ascii="宋体" w:hAnsi="宋体" w:cs="宋体"/>
          <w:kern w:val="0"/>
          <w:sz w:val="24"/>
          <w:szCs w:val="24"/>
          <w:highlight w:val="none"/>
          <w:u w:val="single"/>
        </w:rPr>
      </w:pPr>
      <w:r>
        <w:rPr>
          <w:rFonts w:hint="eastAsia" w:ascii="宋体" w:hAnsi="宋体" w:cs="宋体"/>
          <w:kern w:val="0"/>
          <w:sz w:val="24"/>
          <w:szCs w:val="24"/>
          <w:highlight w:val="none"/>
        </w:rPr>
        <w:t>承包人完成最终支付的期限：</w:t>
      </w:r>
      <w:r>
        <w:rPr>
          <w:rFonts w:hint="eastAsia" w:ascii="宋体" w:hAnsi="宋体" w:cs="宋体"/>
          <w:kern w:val="0"/>
          <w:sz w:val="24"/>
          <w:szCs w:val="24"/>
          <w:highlight w:val="none"/>
          <w:u w:val="single"/>
        </w:rPr>
        <w:t xml:space="preserve"> 双方协商确定。</w:t>
      </w:r>
    </w:p>
    <w:p w14:paraId="13BB8C5D">
      <w:pPr>
        <w:spacing w:line="500" w:lineRule="exact"/>
        <w:ind w:firstLine="482" w:firstLineChars="200"/>
        <w:rPr>
          <w:rFonts w:hint="eastAsia" w:ascii="宋体" w:hAnsi="宋体" w:cs="宋体"/>
          <w:b/>
          <w:bCs/>
          <w:sz w:val="24"/>
          <w:szCs w:val="24"/>
          <w:highlight w:val="none"/>
        </w:rPr>
      </w:pPr>
      <w:bookmarkStart w:id="111" w:name="_Toc389586483"/>
      <w:r>
        <w:rPr>
          <w:rFonts w:hint="eastAsia" w:ascii="宋体" w:hAnsi="宋体" w:cs="宋体"/>
          <w:b/>
          <w:bCs/>
          <w:sz w:val="24"/>
          <w:szCs w:val="24"/>
          <w:highlight w:val="none"/>
        </w:rPr>
        <w:t>18. 缺陷责任期与保修期</w:t>
      </w:r>
      <w:bookmarkEnd w:id="111"/>
    </w:p>
    <w:p w14:paraId="1D048ED9">
      <w:pPr>
        <w:spacing w:line="500" w:lineRule="exact"/>
        <w:ind w:firstLine="482" w:firstLineChars="200"/>
        <w:rPr>
          <w:rFonts w:hint="eastAsia" w:ascii="宋体" w:hAnsi="宋体" w:cs="宋体"/>
          <w:b/>
          <w:bCs/>
          <w:sz w:val="24"/>
          <w:szCs w:val="24"/>
          <w:highlight w:val="none"/>
        </w:rPr>
      </w:pPr>
      <w:bookmarkStart w:id="112" w:name="_Toc389586484"/>
      <w:r>
        <w:rPr>
          <w:rFonts w:hint="eastAsia" w:ascii="宋体" w:hAnsi="宋体" w:cs="宋体"/>
          <w:b/>
          <w:bCs/>
          <w:sz w:val="24"/>
          <w:szCs w:val="24"/>
          <w:highlight w:val="none"/>
        </w:rPr>
        <w:t>18.1 缺陷责任期</w:t>
      </w:r>
      <w:bookmarkEnd w:id="112"/>
    </w:p>
    <w:p w14:paraId="52E8E41C">
      <w:pPr>
        <w:wordWrap w:val="0"/>
        <w:autoSpaceDE w:val="0"/>
        <w:autoSpaceDN w:val="0"/>
        <w:adjustRightInd w:val="0"/>
        <w:snapToGrid w:val="0"/>
        <w:spacing w:line="500" w:lineRule="exact"/>
        <w:ind w:firstLine="480" w:firstLineChars="200"/>
        <w:jc w:val="left"/>
        <w:rPr>
          <w:rFonts w:hint="eastAsia" w:ascii="宋体" w:hAnsi="宋体" w:cs="宋体"/>
          <w:kern w:val="0"/>
          <w:sz w:val="24"/>
          <w:szCs w:val="24"/>
          <w:highlight w:val="none"/>
        </w:rPr>
      </w:pPr>
      <w:r>
        <w:rPr>
          <w:rFonts w:hint="eastAsia" w:ascii="宋体" w:hAnsi="宋体" w:cs="宋体"/>
          <w:kern w:val="0"/>
          <w:sz w:val="24"/>
          <w:szCs w:val="24"/>
          <w:highlight w:val="none"/>
        </w:rPr>
        <w:t>18.1.1 缺陷责任期具体期限：</w:t>
      </w:r>
      <w:r>
        <w:rPr>
          <w:rFonts w:hint="eastAsia" w:ascii="宋体" w:hAnsi="宋体" w:cs="宋体"/>
          <w:kern w:val="0"/>
          <w:sz w:val="24"/>
          <w:szCs w:val="24"/>
          <w:highlight w:val="none"/>
          <w:u w:val="single"/>
        </w:rPr>
        <w:t xml:space="preserve"> 自分包工程竣工验收合格之日起24个月</w:t>
      </w:r>
      <w:r>
        <w:rPr>
          <w:rFonts w:hint="eastAsia" w:ascii="宋体" w:hAnsi="宋体" w:cs="宋体"/>
          <w:kern w:val="0"/>
          <w:sz w:val="24"/>
          <w:szCs w:val="24"/>
          <w:highlight w:val="none"/>
        </w:rPr>
        <w:t>。</w:t>
      </w:r>
    </w:p>
    <w:p w14:paraId="4B83F8BD">
      <w:pPr>
        <w:wordWrap w:val="0"/>
        <w:autoSpaceDE w:val="0"/>
        <w:autoSpaceDN w:val="0"/>
        <w:adjustRightInd w:val="0"/>
        <w:snapToGrid w:val="0"/>
        <w:spacing w:line="500" w:lineRule="exact"/>
        <w:ind w:firstLine="480" w:firstLineChars="200"/>
        <w:jc w:val="left"/>
        <w:rPr>
          <w:rFonts w:hint="eastAsia" w:ascii="宋体" w:hAnsi="宋体" w:cs="宋体"/>
          <w:i/>
          <w:kern w:val="0"/>
          <w:sz w:val="24"/>
          <w:szCs w:val="24"/>
          <w:highlight w:val="none"/>
          <w:u w:val="single"/>
        </w:rPr>
      </w:pPr>
      <w:r>
        <w:rPr>
          <w:rFonts w:hint="eastAsia" w:ascii="宋体" w:hAnsi="宋体" w:cs="宋体"/>
          <w:kern w:val="0"/>
          <w:sz w:val="24"/>
          <w:szCs w:val="24"/>
          <w:highlight w:val="none"/>
        </w:rPr>
        <w:t xml:space="preserve">18.1.2 </w:t>
      </w:r>
      <w:r>
        <w:rPr>
          <w:rFonts w:hint="eastAsia" w:ascii="宋体" w:hAnsi="宋体" w:cs="宋体"/>
          <w:sz w:val="24"/>
          <w:szCs w:val="24"/>
          <w:highlight w:val="none"/>
        </w:rPr>
        <w:t>质量保修：</w:t>
      </w:r>
      <w:r>
        <w:rPr>
          <w:rFonts w:hint="eastAsia" w:ascii="宋体" w:hAnsi="宋体" w:cs="宋体"/>
          <w:kern w:val="0"/>
          <w:sz w:val="24"/>
          <w:szCs w:val="24"/>
          <w:highlight w:val="none"/>
        </w:rPr>
        <w:t>缺陷责任期内，</w:t>
      </w:r>
      <w:r>
        <w:rPr>
          <w:rFonts w:hint="eastAsia" w:ascii="宋体" w:hAnsi="宋体" w:cs="宋体"/>
          <w:sz w:val="24"/>
          <w:szCs w:val="24"/>
          <w:highlight w:val="none"/>
        </w:rPr>
        <w:t>属于分包人保修范围和内容的分包工程项目，分包人应在接到修理通知后 24小时内 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20EA3A16">
      <w:pPr>
        <w:wordWrap w:val="0"/>
        <w:autoSpaceDE w:val="0"/>
        <w:autoSpaceDN w:val="0"/>
        <w:adjustRightInd w:val="0"/>
        <w:snapToGrid w:val="0"/>
        <w:spacing w:line="500" w:lineRule="exact"/>
        <w:ind w:firstLine="480" w:firstLineChars="200"/>
        <w:jc w:val="left"/>
        <w:rPr>
          <w:rFonts w:hint="eastAsia" w:ascii="宋体" w:hAnsi="宋体" w:cs="宋体"/>
          <w:kern w:val="0"/>
          <w:sz w:val="24"/>
          <w:szCs w:val="24"/>
          <w:highlight w:val="none"/>
          <w:u w:val="single"/>
        </w:rPr>
      </w:pPr>
      <w:r>
        <w:rPr>
          <w:rFonts w:hint="eastAsia" w:ascii="宋体" w:hAnsi="宋体" w:cs="宋体"/>
          <w:kern w:val="0"/>
          <w:sz w:val="24"/>
          <w:szCs w:val="24"/>
          <w:highlight w:val="none"/>
        </w:rPr>
        <w:t>18.1.3 分包人发出缺陷责任期届满通知的期限：</w:t>
      </w:r>
      <w:r>
        <w:rPr>
          <w:rFonts w:hint="eastAsia" w:ascii="宋体" w:hAnsi="宋体" w:cs="宋体"/>
          <w:kern w:val="0"/>
          <w:sz w:val="24"/>
          <w:szCs w:val="24"/>
          <w:highlight w:val="none"/>
          <w:u w:val="single"/>
        </w:rPr>
        <w:t xml:space="preserve">  分包人应于缺陷责任期届满后7天内向承包人发出缺陷责任期届满通知，承包人应在收到缺陷责任期届满通知后14天内核实分包人是否履行缺陷修复义务，分包人未能履行缺陷修复义务的，承包人有权扣除相应金额的维修费用。承包人应在收到缺陷责任期届满通知后14天内，向分包人颁发缺陷责任期终止证书。</w:t>
      </w:r>
    </w:p>
    <w:p w14:paraId="54C32626">
      <w:pPr>
        <w:spacing w:line="500" w:lineRule="exact"/>
        <w:ind w:firstLine="482" w:firstLineChars="200"/>
        <w:rPr>
          <w:rFonts w:hint="eastAsia" w:ascii="宋体" w:hAnsi="宋体" w:cs="宋体"/>
          <w:b/>
          <w:bCs/>
          <w:sz w:val="24"/>
          <w:szCs w:val="24"/>
          <w:highlight w:val="none"/>
        </w:rPr>
      </w:pPr>
      <w:bookmarkStart w:id="113" w:name="_Toc389586485"/>
      <w:r>
        <w:rPr>
          <w:rFonts w:hint="eastAsia" w:ascii="宋体" w:hAnsi="宋体" w:cs="宋体"/>
          <w:b/>
          <w:bCs/>
          <w:sz w:val="24"/>
          <w:szCs w:val="24"/>
          <w:highlight w:val="none"/>
        </w:rPr>
        <w:t>18.2 保修期</w:t>
      </w:r>
      <w:bookmarkEnd w:id="113"/>
    </w:p>
    <w:p w14:paraId="5D9B5692">
      <w:pPr>
        <w:wordWrap w:val="0"/>
        <w:adjustRightInd w:val="0"/>
        <w:snapToGrid w:val="0"/>
        <w:spacing w:line="500" w:lineRule="exact"/>
        <w:ind w:firstLine="480" w:firstLineChars="200"/>
        <w:rPr>
          <w:rFonts w:hint="eastAsia" w:ascii="宋体" w:hAnsi="宋体" w:cs="宋体"/>
          <w:kern w:val="0"/>
          <w:sz w:val="24"/>
          <w:szCs w:val="24"/>
          <w:highlight w:val="none"/>
          <w:u w:val="single"/>
        </w:rPr>
      </w:pPr>
      <w:r>
        <w:rPr>
          <w:rFonts w:hint="eastAsia" w:ascii="宋体" w:hAnsi="宋体" w:cs="宋体"/>
          <w:sz w:val="24"/>
          <w:szCs w:val="24"/>
          <w:highlight w:val="none"/>
        </w:rPr>
        <w:t>18.2.1 保修期的起算日：</w:t>
      </w:r>
      <w:r>
        <w:rPr>
          <w:rFonts w:hint="eastAsia" w:ascii="宋体" w:hAnsi="宋体" w:cs="宋体"/>
          <w:sz w:val="24"/>
          <w:szCs w:val="24"/>
          <w:highlight w:val="none"/>
          <w:u w:val="single"/>
        </w:rPr>
        <w:t>自</w:t>
      </w:r>
      <w:r>
        <w:rPr>
          <w:rFonts w:hint="eastAsia" w:ascii="宋体" w:hAnsi="宋体" w:cs="宋体"/>
          <w:kern w:val="0"/>
          <w:sz w:val="24"/>
          <w:szCs w:val="24"/>
          <w:highlight w:val="none"/>
          <w:u w:val="single"/>
        </w:rPr>
        <w:t>分包工程竣工验收合格之日起计算。</w:t>
      </w:r>
    </w:p>
    <w:p w14:paraId="2B5505EB">
      <w:pPr>
        <w:wordWrap w:val="0"/>
        <w:adjustRightInd w:val="0"/>
        <w:snapToGrid w:val="0"/>
        <w:spacing w:line="500" w:lineRule="exact"/>
        <w:ind w:firstLine="480" w:firstLineChars="200"/>
        <w:rPr>
          <w:rFonts w:hint="eastAsia" w:ascii="宋体" w:hAnsi="宋体" w:cs="宋体"/>
          <w:sz w:val="24"/>
          <w:szCs w:val="24"/>
          <w:highlight w:val="none"/>
          <w:u w:val="single"/>
        </w:rPr>
      </w:pPr>
      <w:r>
        <w:rPr>
          <w:rFonts w:hint="eastAsia" w:ascii="宋体" w:hAnsi="宋体" w:cs="宋体"/>
          <w:kern w:val="0"/>
          <w:sz w:val="24"/>
          <w:szCs w:val="24"/>
          <w:highlight w:val="none"/>
        </w:rPr>
        <w:t>保修期具体期限：</w:t>
      </w:r>
    </w:p>
    <w:p w14:paraId="77D0CAE8">
      <w:pPr>
        <w:wordWrap w:val="0"/>
        <w:adjustRightInd w:val="0"/>
        <w:snapToGrid w:val="0"/>
        <w:spacing w:line="500" w:lineRule="exact"/>
        <w:ind w:firstLine="480" w:firstLineChars="200"/>
        <w:jc w:val="left"/>
        <w:rPr>
          <w:rFonts w:hint="eastAsia" w:ascii="宋体" w:hAnsi="宋体" w:cs="宋体"/>
          <w:sz w:val="24"/>
          <w:szCs w:val="24"/>
          <w:highlight w:val="none"/>
          <w:u w:val="single"/>
        </w:rPr>
      </w:pPr>
      <w:bookmarkStart w:id="114" w:name="_Toc389586486"/>
      <w:r>
        <w:rPr>
          <w:rFonts w:hint="eastAsia" w:ascii="宋体" w:hAnsi="宋体" w:cs="宋体"/>
          <w:sz w:val="24"/>
          <w:szCs w:val="24"/>
          <w:highlight w:val="none"/>
          <w:u w:val="single"/>
        </w:rPr>
        <w:t>（1）基础设施工程、房屋建筑的地基基础工程和主体结构工程，为设计文件规定的该工程的合理使用年限；</w:t>
      </w:r>
    </w:p>
    <w:p w14:paraId="20050B83">
      <w:pPr>
        <w:wordWrap w:val="0"/>
        <w:adjustRightInd w:val="0"/>
        <w:snapToGrid w:val="0"/>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u w:val="single"/>
        </w:rPr>
        <w:t>（2）屋面防水工程、有防水要求的卫生间、房间和外墙面的防渗漏，为5年；</w:t>
      </w:r>
    </w:p>
    <w:p w14:paraId="7C976359">
      <w:pPr>
        <w:wordWrap w:val="0"/>
        <w:adjustRightInd w:val="0"/>
        <w:snapToGrid w:val="0"/>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u w:val="single"/>
        </w:rPr>
        <w:t>（3）供热与供冷系统，为2个采暖期、供冷期；</w:t>
      </w:r>
    </w:p>
    <w:p w14:paraId="56CB4777">
      <w:pPr>
        <w:wordWrap w:val="0"/>
        <w:adjustRightInd w:val="0"/>
        <w:snapToGrid w:val="0"/>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u w:val="single"/>
        </w:rPr>
        <w:t>（4）电气管线、给排水管道、设备安装和装修工程，为2年。</w:t>
      </w:r>
    </w:p>
    <w:p w14:paraId="4F817D11">
      <w:pPr>
        <w:wordWrap w:val="0"/>
        <w:adjustRightInd w:val="0"/>
        <w:snapToGrid w:val="0"/>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u w:val="single"/>
        </w:rPr>
        <w:t>其他项目的保修期限由承包人与分包人约定</w:t>
      </w:r>
    </w:p>
    <w:p w14:paraId="35A7D10A">
      <w:pP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18.3 质量保证金</w:t>
      </w:r>
      <w:bookmarkEnd w:id="114"/>
      <w:r>
        <w:rPr>
          <w:rFonts w:hint="eastAsia" w:ascii="宋体" w:hAnsi="宋体" w:cs="宋体"/>
          <w:b/>
          <w:bCs/>
          <w:sz w:val="24"/>
          <w:szCs w:val="24"/>
          <w:highlight w:val="none"/>
        </w:rPr>
        <w:t>及返还</w:t>
      </w:r>
    </w:p>
    <w:p w14:paraId="020B3AA3">
      <w:pPr>
        <w:spacing w:line="500" w:lineRule="exact"/>
        <w:ind w:firstLine="480" w:firstLineChars="200"/>
        <w:rPr>
          <w:rFonts w:hint="eastAsia" w:ascii="宋体" w:hAnsi="宋体" w:cs="宋体"/>
          <w:i/>
          <w:kern w:val="0"/>
          <w:sz w:val="24"/>
          <w:szCs w:val="24"/>
          <w:highlight w:val="none"/>
          <w:u w:val="single"/>
        </w:rPr>
      </w:pPr>
      <w:r>
        <w:rPr>
          <w:rFonts w:hint="eastAsia" w:ascii="宋体" w:hAnsi="宋体" w:cs="宋体"/>
          <w:sz w:val="24"/>
          <w:szCs w:val="24"/>
          <w:highlight w:val="none"/>
        </w:rPr>
        <w:t>18.3.1 质量保证金及返还：</w:t>
      </w:r>
      <w:r>
        <w:rPr>
          <w:rFonts w:hint="eastAsia" w:ascii="宋体" w:hAnsi="宋体" w:cs="宋体"/>
          <w:sz w:val="24"/>
          <w:szCs w:val="24"/>
          <w:highlight w:val="none"/>
          <w:u w:val="single"/>
        </w:rPr>
        <w:t>本工程质量保证金为分包合同总价款的10%，缺陷责任期满3个月后，承包人扣减分包人应承担费用后将质保金余额无息返还分包人。</w:t>
      </w:r>
    </w:p>
    <w:p w14:paraId="03D53611">
      <w:pPr>
        <w:spacing w:line="500" w:lineRule="exact"/>
        <w:ind w:firstLine="482" w:firstLineChars="200"/>
        <w:rPr>
          <w:rFonts w:hint="eastAsia" w:ascii="宋体" w:hAnsi="宋体" w:cs="宋体"/>
          <w:b/>
          <w:bCs/>
          <w:sz w:val="24"/>
          <w:szCs w:val="24"/>
          <w:highlight w:val="none"/>
        </w:rPr>
      </w:pPr>
      <w:bookmarkStart w:id="115" w:name="_Toc389586487"/>
      <w:r>
        <w:rPr>
          <w:rFonts w:hint="eastAsia" w:ascii="宋体" w:hAnsi="宋体" w:cs="宋体"/>
          <w:b/>
          <w:bCs/>
          <w:sz w:val="24"/>
          <w:szCs w:val="24"/>
          <w:highlight w:val="none"/>
        </w:rPr>
        <w:t>19. 违约</w:t>
      </w:r>
      <w:bookmarkEnd w:id="115"/>
    </w:p>
    <w:p w14:paraId="2587DC28">
      <w:pPr>
        <w:spacing w:line="500" w:lineRule="exact"/>
        <w:ind w:firstLine="482" w:firstLineChars="200"/>
        <w:rPr>
          <w:rFonts w:hint="eastAsia" w:ascii="宋体" w:hAnsi="宋体" w:cs="宋体"/>
          <w:b/>
          <w:bCs/>
          <w:sz w:val="24"/>
          <w:szCs w:val="24"/>
          <w:highlight w:val="none"/>
        </w:rPr>
      </w:pPr>
      <w:bookmarkStart w:id="116" w:name="_Toc389586488"/>
      <w:r>
        <w:rPr>
          <w:rFonts w:hint="eastAsia" w:ascii="宋体" w:hAnsi="宋体" w:cs="宋体"/>
          <w:b/>
          <w:bCs/>
          <w:sz w:val="24"/>
          <w:szCs w:val="24"/>
          <w:highlight w:val="none"/>
        </w:rPr>
        <w:t>19.1 承包人违约</w:t>
      </w:r>
      <w:bookmarkEnd w:id="116"/>
    </w:p>
    <w:p w14:paraId="6815BAEB">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19.1.1 承包人违约时应支付的违约金或违约金的计算方法：</w:t>
      </w:r>
      <w:r>
        <w:rPr>
          <w:rFonts w:hint="eastAsia" w:ascii="宋体" w:hAnsi="宋体" w:cs="宋体"/>
          <w:sz w:val="24"/>
          <w:szCs w:val="24"/>
          <w:highlight w:val="none"/>
          <w:u w:val="single"/>
        </w:rPr>
        <w:t xml:space="preserve">  承包人应承担其违约行为给分包人增加的费用和延误的期限。</w:t>
      </w:r>
    </w:p>
    <w:p w14:paraId="24B0B682">
      <w:pPr>
        <w:spacing w:line="500" w:lineRule="exact"/>
        <w:ind w:firstLine="482" w:firstLineChars="200"/>
        <w:rPr>
          <w:rFonts w:hint="eastAsia" w:ascii="宋体" w:hAnsi="宋体" w:cs="宋体"/>
          <w:b/>
          <w:bCs/>
          <w:sz w:val="24"/>
          <w:szCs w:val="24"/>
          <w:highlight w:val="none"/>
        </w:rPr>
      </w:pPr>
      <w:bookmarkStart w:id="117" w:name="_Toc389586489"/>
      <w:r>
        <w:rPr>
          <w:rFonts w:hint="eastAsia" w:ascii="宋体" w:hAnsi="宋体" w:cs="宋体"/>
          <w:b/>
          <w:bCs/>
          <w:sz w:val="24"/>
          <w:szCs w:val="24"/>
          <w:highlight w:val="none"/>
        </w:rPr>
        <w:t>19.2 分包人违约</w:t>
      </w:r>
      <w:bookmarkEnd w:id="117"/>
    </w:p>
    <w:p w14:paraId="2A564F07">
      <w:pPr>
        <w:spacing w:line="500" w:lineRule="exact"/>
        <w:ind w:firstLine="480"/>
        <w:rPr>
          <w:rFonts w:hint="eastAsia" w:ascii="宋体" w:hAnsi="宋体" w:cs="宋体"/>
          <w:sz w:val="24"/>
          <w:szCs w:val="24"/>
          <w:highlight w:val="none"/>
        </w:rPr>
      </w:pPr>
      <w:r>
        <w:rPr>
          <w:rFonts w:hint="eastAsia" w:ascii="宋体" w:hAnsi="宋体" w:cs="宋体"/>
          <w:sz w:val="24"/>
          <w:szCs w:val="24"/>
          <w:highlight w:val="none"/>
        </w:rPr>
        <w:t>19.2.1 分包人的其他违约情形：</w:t>
      </w:r>
    </w:p>
    <w:p w14:paraId="4C22830E">
      <w:pPr>
        <w:spacing w:line="500" w:lineRule="exact"/>
        <w:ind w:firstLine="480"/>
        <w:rPr>
          <w:rFonts w:hint="eastAsia" w:ascii="宋体" w:hAnsi="宋体" w:cs="宋体"/>
          <w:sz w:val="24"/>
          <w:szCs w:val="24"/>
          <w:highlight w:val="none"/>
          <w:u w:val="single"/>
        </w:rPr>
      </w:pPr>
      <w:r>
        <w:rPr>
          <w:rFonts w:hint="eastAsia" w:ascii="宋体" w:hAnsi="宋体" w:cs="宋体"/>
          <w:sz w:val="24"/>
          <w:szCs w:val="24"/>
          <w:highlight w:val="none"/>
          <w:u w:val="single"/>
        </w:rPr>
        <w:t>1. 未经承包人同意，分包人不得接受发包人任何指令。如因此给承包人造成损失，由分包人承担赔偿责任，而且承包人可以立即与分包人解除合同，同时分包人应向承包人支付合同价款 10% 的违约金，承包人有权在应支付分包人的工程进度款中扣除。</w:t>
      </w:r>
    </w:p>
    <w:p w14:paraId="630A7CD0">
      <w:pPr>
        <w:spacing w:line="500" w:lineRule="exact"/>
        <w:ind w:firstLine="480"/>
        <w:rPr>
          <w:rFonts w:hint="eastAsia" w:ascii="宋体" w:hAnsi="宋体" w:cs="宋体"/>
          <w:sz w:val="24"/>
          <w:szCs w:val="24"/>
          <w:highlight w:val="none"/>
          <w:u w:val="single"/>
        </w:rPr>
      </w:pPr>
      <w:r>
        <w:rPr>
          <w:rFonts w:hint="eastAsia" w:ascii="宋体" w:hAnsi="宋体" w:cs="宋体"/>
          <w:sz w:val="24"/>
          <w:szCs w:val="24"/>
          <w:highlight w:val="none"/>
          <w:u w:val="single"/>
        </w:rPr>
        <w:t>2. 分包人将其分包的工程转包或再分包的，承包人可以立即与分包人解除合同，同时分包人除应向承包人赔偿损失外，还应向承包人支付合同价款10%的违约金，承包人有权在应付分包人工程进度款中扣除。</w:t>
      </w:r>
    </w:p>
    <w:p w14:paraId="24631167">
      <w:pPr>
        <w:spacing w:line="500" w:lineRule="exact"/>
        <w:ind w:firstLine="480"/>
        <w:rPr>
          <w:rFonts w:hint="eastAsia" w:ascii="宋体" w:hAnsi="宋体" w:cs="宋体"/>
          <w:sz w:val="24"/>
          <w:szCs w:val="24"/>
          <w:highlight w:val="none"/>
          <w:u w:val="single"/>
        </w:rPr>
      </w:pPr>
      <w:r>
        <w:rPr>
          <w:rFonts w:hint="eastAsia" w:ascii="宋体" w:hAnsi="宋体" w:cs="宋体"/>
          <w:sz w:val="24"/>
          <w:szCs w:val="24"/>
          <w:highlight w:val="none"/>
          <w:u w:val="single"/>
        </w:rPr>
        <w:t>3. 因分包人原因，安全文明达不到约定的安全文明标准，分包人应承担违约责任，向承包人支付合同价款10%的违约金，承包人有权在应付分包人的工程进度款中扣除。</w:t>
      </w:r>
    </w:p>
    <w:p w14:paraId="079F6E18">
      <w:pPr>
        <w:wordWrap w:val="0"/>
        <w:autoSpaceDE w:val="0"/>
        <w:autoSpaceDN w:val="0"/>
        <w:adjustRightInd w:val="0"/>
        <w:snapToGrid w:val="0"/>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u w:val="single"/>
        </w:rPr>
        <w:t>4. 分包人违约，承包人发出整改通知后15天内仍不纠正违约行为的，承包人有权解除合同，且承包人有权暂停对分包人的付款。</w:t>
      </w:r>
    </w:p>
    <w:p w14:paraId="0A4F41C0">
      <w:pPr>
        <w:spacing w:line="500" w:lineRule="exact"/>
        <w:ind w:firstLine="480"/>
        <w:rPr>
          <w:rFonts w:hint="eastAsia" w:ascii="宋体" w:hAnsi="宋体" w:cs="宋体"/>
          <w:sz w:val="24"/>
          <w:szCs w:val="24"/>
          <w:highlight w:val="none"/>
          <w:u w:val="single"/>
        </w:rPr>
      </w:pPr>
      <w:r>
        <w:rPr>
          <w:rFonts w:hint="eastAsia" w:ascii="宋体" w:hAnsi="宋体" w:cs="宋体"/>
          <w:sz w:val="24"/>
          <w:szCs w:val="24"/>
          <w:highlight w:val="none"/>
          <w:u w:val="single"/>
        </w:rPr>
        <w:t>5. 分包人不开具或未按承包人要求按时足额提供增值税扣税凭证的，或分包人开具的增值税专用发票没有通过税务部门认证、无法提供增值税扣税凭证或开具的增值税扣税凭证丢失、不合法或者虚开增值税发票的应向承包人承担合同总价10% 的违约金，且不免除分包人向承包人继续开具增值税专用发票的义务。</w:t>
      </w:r>
    </w:p>
    <w:p w14:paraId="1D9A0A9D">
      <w:pPr>
        <w:spacing w:line="500" w:lineRule="exact"/>
        <w:ind w:firstLine="480"/>
        <w:rPr>
          <w:rFonts w:hint="eastAsia" w:ascii="宋体" w:hAnsi="宋体" w:cs="宋体"/>
          <w:sz w:val="24"/>
          <w:szCs w:val="24"/>
          <w:highlight w:val="none"/>
          <w:u w:val="single"/>
        </w:rPr>
      </w:pPr>
      <w:r>
        <w:rPr>
          <w:rFonts w:hint="eastAsia" w:ascii="宋体" w:hAnsi="宋体" w:cs="宋体"/>
          <w:sz w:val="24"/>
          <w:szCs w:val="24"/>
          <w:highlight w:val="none"/>
          <w:u w:val="single"/>
        </w:rPr>
        <w:t>6.  承包人有权从分包人后续工程款中直接扣除以上违约金及相关费用。</w:t>
      </w:r>
    </w:p>
    <w:p w14:paraId="3995F4CA">
      <w:pPr>
        <w:spacing w:line="500" w:lineRule="exact"/>
        <w:ind w:firstLine="482" w:firstLineChars="200"/>
        <w:rPr>
          <w:rFonts w:hint="eastAsia" w:ascii="宋体" w:hAnsi="宋体" w:cs="宋体"/>
          <w:b/>
          <w:bCs/>
          <w:sz w:val="24"/>
          <w:szCs w:val="24"/>
          <w:highlight w:val="none"/>
        </w:rPr>
      </w:pPr>
      <w:bookmarkStart w:id="118" w:name="_Toc389586490"/>
      <w:r>
        <w:rPr>
          <w:rFonts w:hint="eastAsia" w:ascii="宋体" w:hAnsi="宋体" w:cs="宋体"/>
          <w:b/>
          <w:bCs/>
          <w:sz w:val="24"/>
          <w:szCs w:val="24"/>
          <w:highlight w:val="none"/>
        </w:rPr>
        <w:t>20. 合同解除</w:t>
      </w:r>
    </w:p>
    <w:p w14:paraId="48DCB55C">
      <w:pPr>
        <w:spacing w:line="500" w:lineRule="exact"/>
        <w:ind w:firstLine="482" w:firstLineChars="200"/>
        <w:rPr>
          <w:rFonts w:hint="eastAsia" w:ascii="宋体" w:hAnsi="宋体" w:cs="宋体"/>
          <w:sz w:val="24"/>
          <w:szCs w:val="24"/>
          <w:highlight w:val="none"/>
        </w:rPr>
      </w:pPr>
      <w:r>
        <w:rPr>
          <w:rFonts w:hint="eastAsia" w:ascii="宋体" w:hAnsi="宋体" w:cs="宋体"/>
          <w:b/>
          <w:bCs/>
          <w:sz w:val="24"/>
          <w:szCs w:val="24"/>
          <w:highlight w:val="none"/>
        </w:rPr>
        <w:t>20.1 合同解除的情形</w:t>
      </w:r>
    </w:p>
    <w:p w14:paraId="56266B4E">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20.1.1 合同当事人均有权解除合同的其他情形：</w:t>
      </w:r>
    </w:p>
    <w:p w14:paraId="1AEF63DC">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u w:val="single"/>
        </w:rPr>
        <w:t>1. 因不可抗力导致合同无法履行连续超过84天或累计超过140天，合同当事人均有权解除合同；</w:t>
      </w:r>
    </w:p>
    <w:p w14:paraId="6CD69E33">
      <w:pPr>
        <w:spacing w:line="500" w:lineRule="exact"/>
        <w:ind w:firstLine="480" w:firstLineChars="200"/>
        <w:rPr>
          <w:rFonts w:hint="eastAsia" w:ascii="宋体" w:hAnsi="宋体" w:cs="宋体"/>
          <w:sz w:val="24"/>
          <w:szCs w:val="24"/>
          <w:highlight w:val="none"/>
          <w:u w:val="single"/>
        </w:rPr>
      </w:pPr>
      <w:r>
        <w:rPr>
          <w:rFonts w:hint="eastAsia" w:ascii="宋体" w:hAnsi="宋体" w:cs="宋体"/>
          <w:bCs/>
          <w:sz w:val="24"/>
          <w:szCs w:val="24"/>
          <w:highlight w:val="none"/>
          <w:u w:val="single"/>
        </w:rPr>
        <w:t>2. 承包人</w:t>
      </w:r>
      <w:r>
        <w:rPr>
          <w:rFonts w:hint="eastAsia" w:ascii="宋体" w:hAnsi="宋体" w:cs="宋体"/>
          <w:sz w:val="24"/>
          <w:szCs w:val="24"/>
          <w:highlight w:val="none"/>
          <w:u w:val="single"/>
        </w:rPr>
        <w:t>与发包人的总包合同解除的，合同当事人均有权解除合同，且互不承担违约责任。</w:t>
      </w:r>
    </w:p>
    <w:p w14:paraId="007FFBF9">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20.1.2 承包人有权解除合同的其他情形：</w:t>
      </w:r>
    </w:p>
    <w:p w14:paraId="48F2333B">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u w:val="single"/>
        </w:rPr>
        <w:t>1. 分包人将本合同项下的工程转包或再分包给他人的；</w:t>
      </w:r>
    </w:p>
    <w:p w14:paraId="0EA44BFC">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u w:val="single"/>
        </w:rPr>
        <w:t>2. 分包人分包工程质量不符合本合同约定的质量标准且无法整改的；</w:t>
      </w:r>
    </w:p>
    <w:p w14:paraId="5003B08D">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u w:val="single"/>
        </w:rPr>
        <w:t>3. 分包人不按照本合同的约定提供符合作业要求的作业人员或不履行本合同约定的其他义务，其违约行为足以影响本工作的质量、安全、作业期限，且经承包人书面催告后未在合理期限内改正的；</w:t>
      </w:r>
    </w:p>
    <w:p w14:paraId="3898FF4B">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u w:val="single"/>
        </w:rPr>
        <w:t>4. 因分包人原因导致分包工程暂停持续超过56天不复工的，或虽未超过56天但已经导致合同目的不能实现的；</w:t>
      </w:r>
    </w:p>
    <w:p w14:paraId="6086B391">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u w:val="single"/>
        </w:rPr>
        <w:t>5. 分包人未按照合同约定向其雇用人员支付报酬，导致引发10人以上的群体性事件的。</w:t>
      </w:r>
    </w:p>
    <w:p w14:paraId="2AA39AEB">
      <w:pP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20.2 合同解除后的处理</w:t>
      </w:r>
    </w:p>
    <w:p w14:paraId="617AE9A8">
      <w:pPr>
        <w:spacing w:line="500" w:lineRule="exact"/>
        <w:ind w:firstLine="480" w:firstLineChars="200"/>
        <w:rPr>
          <w:rFonts w:hint="eastAsia" w:ascii="宋体" w:hAnsi="宋体" w:cs="宋体"/>
          <w:bCs/>
          <w:iCs/>
          <w:sz w:val="24"/>
          <w:szCs w:val="24"/>
          <w:highlight w:val="none"/>
        </w:rPr>
      </w:pPr>
      <w:r>
        <w:rPr>
          <w:rFonts w:hint="eastAsia" w:ascii="宋体" w:hAnsi="宋体" w:cs="宋体"/>
          <w:bCs/>
          <w:iCs/>
          <w:sz w:val="24"/>
          <w:szCs w:val="24"/>
          <w:highlight w:val="none"/>
        </w:rPr>
        <w:t>20.2.1 合同解除后，</w:t>
      </w:r>
      <w:r>
        <w:rPr>
          <w:rFonts w:hint="eastAsia" w:ascii="宋体" w:hAnsi="宋体" w:cs="宋体"/>
          <w:sz w:val="24"/>
          <w:szCs w:val="24"/>
          <w:highlight w:val="none"/>
        </w:rPr>
        <w:t>承包人应及时与专业分包人办理合同结算支付手续。</w:t>
      </w:r>
    </w:p>
    <w:p w14:paraId="4362CC64">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20.2.2 合同解除后，分包人应妥善做好已完工作和剩余材料、设备的保护和移交工作，按承包人要求撤出施工现场。承包人应为分包人撤出提供必要条件。</w:t>
      </w:r>
    </w:p>
    <w:p w14:paraId="4047E38E">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20.2.3 合同解除后，不影响双方在合同中约定的结算和违约条款的效力。有过错的一方应当承担违约责任，并赔偿因合同解除给对方造成的损失。</w:t>
      </w:r>
    </w:p>
    <w:p w14:paraId="20F1A684">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20.2.4 合同解除退场</w:t>
      </w:r>
    </w:p>
    <w:p w14:paraId="718DC6F4">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承包人提前7天向分包人发出撤场通知，分包人应当在承包人要求的期限内撤离人员并办理好相关手续。</w:t>
      </w:r>
      <w:r>
        <w:rPr>
          <w:rFonts w:hint="eastAsia" w:ascii="宋体" w:hAnsi="宋体" w:cs="宋体"/>
          <w:sz w:val="24"/>
          <w:szCs w:val="24"/>
          <w:highlight w:val="none"/>
          <w:u w:val="single"/>
        </w:rPr>
        <w:t>若分包人逾期撤离其作业人员，每延误一天分包人承担签约合同总价万分之一的违约金。</w:t>
      </w:r>
    </w:p>
    <w:p w14:paraId="671676E6">
      <w:pP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21. 不可抗力</w:t>
      </w:r>
      <w:bookmarkEnd w:id="118"/>
      <w:r>
        <w:rPr>
          <w:rFonts w:hint="eastAsia" w:ascii="宋体" w:hAnsi="宋体" w:cs="宋体"/>
          <w:b/>
          <w:bCs/>
          <w:sz w:val="24"/>
          <w:szCs w:val="24"/>
          <w:highlight w:val="none"/>
        </w:rPr>
        <w:t xml:space="preserve"> </w:t>
      </w:r>
    </w:p>
    <w:p w14:paraId="63DC43EC">
      <w:pPr>
        <w:spacing w:line="500" w:lineRule="exact"/>
        <w:ind w:firstLine="482" w:firstLineChars="200"/>
        <w:rPr>
          <w:rFonts w:hint="eastAsia" w:ascii="宋体" w:hAnsi="宋体" w:cs="宋体"/>
          <w:b/>
          <w:bCs/>
          <w:sz w:val="24"/>
          <w:szCs w:val="24"/>
          <w:highlight w:val="none"/>
        </w:rPr>
      </w:pPr>
      <w:bookmarkStart w:id="119" w:name="_Toc389586491"/>
      <w:r>
        <w:rPr>
          <w:rFonts w:hint="eastAsia" w:ascii="宋体" w:hAnsi="宋体" w:cs="宋体"/>
          <w:b/>
          <w:bCs/>
          <w:sz w:val="24"/>
          <w:szCs w:val="24"/>
          <w:highlight w:val="none"/>
        </w:rPr>
        <w:t>21.1 不可抗力的确认和通知</w:t>
      </w:r>
      <w:bookmarkEnd w:id="119"/>
    </w:p>
    <w:p w14:paraId="1426A3EE">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不可抗力的其他情形</w:t>
      </w:r>
      <w:r>
        <w:rPr>
          <w:rFonts w:hint="eastAsia" w:ascii="宋体" w:hAnsi="宋体" w:cs="宋体"/>
          <w:kern w:val="0"/>
          <w:sz w:val="24"/>
          <w:szCs w:val="24"/>
          <w:highlight w:val="none"/>
        </w:rPr>
        <w:t>：</w:t>
      </w:r>
      <w:r>
        <w:rPr>
          <w:rFonts w:hint="eastAsia" w:ascii="宋体" w:hAnsi="宋体" w:cs="宋体"/>
          <w:kern w:val="0"/>
          <w:sz w:val="24"/>
          <w:szCs w:val="24"/>
          <w:highlight w:val="none"/>
          <w:u w:val="single"/>
        </w:rPr>
        <w:t xml:space="preserve">  除通用合同条款约定之外，增加政府或政策变动因素 </w:t>
      </w:r>
      <w:r>
        <w:rPr>
          <w:rFonts w:hint="eastAsia" w:ascii="宋体" w:hAnsi="宋体" w:cs="宋体"/>
          <w:kern w:val="0"/>
          <w:sz w:val="24"/>
          <w:szCs w:val="24"/>
          <w:highlight w:val="none"/>
        </w:rPr>
        <w:t>。</w:t>
      </w:r>
    </w:p>
    <w:p w14:paraId="296BAA38">
      <w:pPr>
        <w:spacing w:line="500" w:lineRule="exact"/>
        <w:ind w:firstLine="482" w:firstLineChars="200"/>
        <w:rPr>
          <w:rFonts w:hint="eastAsia" w:ascii="宋体" w:hAnsi="宋体" w:cs="宋体"/>
          <w:b/>
          <w:bCs/>
          <w:sz w:val="24"/>
          <w:szCs w:val="24"/>
          <w:highlight w:val="none"/>
        </w:rPr>
      </w:pPr>
      <w:bookmarkStart w:id="120" w:name="_Toc389586492"/>
      <w:r>
        <w:rPr>
          <w:rFonts w:hint="eastAsia" w:ascii="宋体" w:hAnsi="宋体" w:cs="宋体"/>
          <w:b/>
          <w:bCs/>
          <w:sz w:val="24"/>
          <w:szCs w:val="24"/>
          <w:highlight w:val="none"/>
        </w:rPr>
        <w:t>21.2 因不可抗力解除合同</w:t>
      </w:r>
      <w:bookmarkEnd w:id="120"/>
    </w:p>
    <w:p w14:paraId="226DE822">
      <w:pPr>
        <w:wordWrap w:val="0"/>
        <w:adjustRightInd w:val="0"/>
        <w:snapToGrid w:val="0"/>
        <w:spacing w:line="500" w:lineRule="exact"/>
        <w:ind w:firstLine="480"/>
        <w:jc w:val="left"/>
        <w:rPr>
          <w:rFonts w:hint="eastAsia" w:ascii="宋体" w:hAnsi="宋体" w:cs="宋体"/>
          <w:sz w:val="24"/>
          <w:szCs w:val="24"/>
          <w:highlight w:val="none"/>
        </w:rPr>
      </w:pPr>
      <w:r>
        <w:rPr>
          <w:rFonts w:hint="eastAsia" w:ascii="宋体" w:hAnsi="宋体" w:cs="宋体"/>
          <w:sz w:val="24"/>
          <w:szCs w:val="24"/>
          <w:highlight w:val="none"/>
        </w:rPr>
        <w:t>因不可抗力解除合同，承包人应支付款项包括：</w:t>
      </w:r>
      <w:r>
        <w:rPr>
          <w:rFonts w:hint="eastAsia" w:ascii="宋体" w:hAnsi="宋体" w:cs="宋体"/>
          <w:sz w:val="24"/>
          <w:szCs w:val="24"/>
          <w:highlight w:val="none"/>
          <w:u w:val="single"/>
        </w:rPr>
        <w:t xml:space="preserve">   执行通用合同条款   </w:t>
      </w:r>
      <w:r>
        <w:rPr>
          <w:rFonts w:hint="eastAsia" w:ascii="宋体" w:hAnsi="宋体" w:cs="宋体"/>
          <w:sz w:val="24"/>
          <w:szCs w:val="24"/>
          <w:highlight w:val="none"/>
        </w:rPr>
        <w:t>。</w:t>
      </w:r>
    </w:p>
    <w:p w14:paraId="6D6F2642">
      <w:pPr>
        <w:spacing w:line="500" w:lineRule="exact"/>
        <w:ind w:firstLine="482" w:firstLineChars="200"/>
        <w:rPr>
          <w:rFonts w:hint="eastAsia" w:ascii="宋体" w:hAnsi="宋体" w:cs="宋体"/>
          <w:b/>
          <w:bCs/>
          <w:sz w:val="24"/>
          <w:szCs w:val="24"/>
          <w:highlight w:val="none"/>
        </w:rPr>
      </w:pPr>
      <w:bookmarkStart w:id="121" w:name="_Toc389586493"/>
      <w:r>
        <w:rPr>
          <w:rFonts w:hint="eastAsia" w:ascii="宋体" w:hAnsi="宋体" w:cs="宋体"/>
          <w:b/>
          <w:bCs/>
          <w:sz w:val="24"/>
          <w:szCs w:val="24"/>
          <w:highlight w:val="none"/>
        </w:rPr>
        <w:t>22. 保险</w:t>
      </w:r>
      <w:bookmarkEnd w:id="121"/>
      <w:r>
        <w:rPr>
          <w:rFonts w:hint="eastAsia" w:ascii="宋体" w:hAnsi="宋体" w:cs="宋体"/>
          <w:b/>
          <w:bCs/>
          <w:sz w:val="24"/>
          <w:szCs w:val="24"/>
          <w:highlight w:val="none"/>
        </w:rPr>
        <w:t xml:space="preserve"> </w:t>
      </w:r>
    </w:p>
    <w:p w14:paraId="5C1B9DDF">
      <w:pPr>
        <w:spacing w:line="500" w:lineRule="exact"/>
        <w:ind w:firstLine="482" w:firstLineChars="200"/>
        <w:rPr>
          <w:rFonts w:hint="eastAsia" w:ascii="宋体" w:hAnsi="宋体" w:cs="宋体"/>
          <w:b/>
          <w:bCs/>
          <w:sz w:val="24"/>
          <w:szCs w:val="24"/>
          <w:highlight w:val="none"/>
        </w:rPr>
      </w:pPr>
      <w:bookmarkStart w:id="122" w:name="_Toc389586494"/>
      <w:r>
        <w:rPr>
          <w:rFonts w:hint="eastAsia" w:ascii="宋体" w:hAnsi="宋体" w:cs="宋体"/>
          <w:b/>
          <w:bCs/>
          <w:sz w:val="24"/>
          <w:szCs w:val="24"/>
          <w:highlight w:val="none"/>
        </w:rPr>
        <w:t>22.1 其他保险</w:t>
      </w:r>
      <w:bookmarkEnd w:id="122"/>
    </w:p>
    <w:p w14:paraId="2A84636F">
      <w:pPr>
        <w:wordWrap w:val="0"/>
        <w:adjustRightInd w:val="0"/>
        <w:snapToGrid w:val="0"/>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rPr>
        <w:t>关于意外伤害保险、财产保险的特别约定：</w:t>
      </w:r>
      <w:r>
        <w:rPr>
          <w:rFonts w:hint="eastAsia" w:ascii="宋体" w:hAnsi="宋体" w:cs="宋体"/>
          <w:sz w:val="24"/>
          <w:szCs w:val="24"/>
          <w:highlight w:val="none"/>
          <w:u w:val="single"/>
        </w:rPr>
        <w:t xml:space="preserve"> 分包人应为其雇佣的人员办理意外伤害保险，为其施工设备等办理财产保险。</w:t>
      </w:r>
    </w:p>
    <w:p w14:paraId="33E7509F">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办理意外伤害保险的具体事项：</w:t>
      </w:r>
      <w:r>
        <w:rPr>
          <w:rFonts w:hint="eastAsia" w:ascii="宋体" w:hAnsi="宋体" w:cs="宋体"/>
          <w:sz w:val="24"/>
          <w:szCs w:val="24"/>
          <w:highlight w:val="none"/>
          <w:u w:val="single"/>
        </w:rPr>
        <w:t xml:space="preserve">意外伤害保险保额每人不得少于50万元 </w:t>
      </w:r>
      <w:r>
        <w:rPr>
          <w:rFonts w:hint="eastAsia" w:ascii="宋体" w:hAnsi="宋体" w:cs="宋体"/>
          <w:sz w:val="24"/>
          <w:szCs w:val="24"/>
          <w:highlight w:val="none"/>
        </w:rPr>
        <w:t>。</w:t>
      </w:r>
    </w:p>
    <w:p w14:paraId="4C0CBF8C">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办理财产保险的具体事项：</w:t>
      </w:r>
      <w:r>
        <w:rPr>
          <w:rFonts w:hint="eastAsia" w:ascii="宋体" w:hAnsi="宋体" w:cs="宋体"/>
          <w:sz w:val="24"/>
          <w:szCs w:val="24"/>
          <w:highlight w:val="none"/>
          <w:u w:val="single"/>
        </w:rPr>
        <w:t xml:space="preserve">  财产保险的保额应该覆盖其施工设备的现实价值 </w:t>
      </w:r>
      <w:r>
        <w:rPr>
          <w:rFonts w:hint="eastAsia" w:ascii="宋体" w:hAnsi="宋体" w:cs="宋体"/>
          <w:sz w:val="24"/>
          <w:szCs w:val="24"/>
          <w:highlight w:val="none"/>
        </w:rPr>
        <w:t>。</w:t>
      </w:r>
    </w:p>
    <w:p w14:paraId="201D4B42">
      <w:pPr>
        <w:spacing w:line="500" w:lineRule="exact"/>
        <w:ind w:firstLine="482" w:firstLineChars="200"/>
        <w:rPr>
          <w:rFonts w:hint="eastAsia" w:ascii="宋体" w:hAnsi="宋体" w:cs="宋体"/>
          <w:b/>
          <w:bCs/>
          <w:sz w:val="24"/>
          <w:szCs w:val="24"/>
          <w:highlight w:val="none"/>
        </w:rPr>
      </w:pPr>
      <w:bookmarkStart w:id="123" w:name="_Toc389586495"/>
      <w:r>
        <w:rPr>
          <w:rFonts w:hint="eastAsia" w:ascii="宋体" w:hAnsi="宋体" w:cs="宋体"/>
          <w:b/>
          <w:bCs/>
          <w:sz w:val="24"/>
          <w:szCs w:val="24"/>
          <w:highlight w:val="none"/>
        </w:rPr>
        <w:t>22.2 保险凭证</w:t>
      </w:r>
      <w:bookmarkEnd w:id="123"/>
    </w:p>
    <w:p w14:paraId="1EDCDDF3">
      <w:pPr>
        <w:wordWrap w:val="0"/>
        <w:adjustRightInd w:val="0"/>
        <w:snapToGrid w:val="0"/>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rPr>
        <w:t>分包人提交保险凭证和保险单复印件的期限：</w:t>
      </w:r>
      <w:r>
        <w:rPr>
          <w:rFonts w:hint="eastAsia" w:ascii="宋体" w:hAnsi="宋体" w:cs="宋体"/>
          <w:sz w:val="24"/>
          <w:szCs w:val="24"/>
          <w:highlight w:val="none"/>
          <w:u w:val="single"/>
        </w:rPr>
        <w:t xml:space="preserve"> 分包人应在开工前7天向承包人提交已投保的各项保险的凭证和保险单复印件。</w:t>
      </w:r>
    </w:p>
    <w:p w14:paraId="1A3B64E2">
      <w:pPr>
        <w:wordWrap w:val="0"/>
        <w:adjustRightInd w:val="0"/>
        <w:snapToGrid w:val="0"/>
        <w:spacing w:line="500" w:lineRule="exact"/>
        <w:ind w:firstLine="482" w:firstLineChars="200"/>
        <w:jc w:val="left"/>
        <w:rPr>
          <w:rFonts w:hint="eastAsia" w:ascii="宋体" w:hAnsi="宋体" w:cs="宋体"/>
          <w:sz w:val="24"/>
          <w:szCs w:val="24"/>
          <w:highlight w:val="none"/>
        </w:rPr>
      </w:pPr>
      <w:r>
        <w:rPr>
          <w:rFonts w:hint="eastAsia" w:ascii="宋体" w:hAnsi="宋体" w:cs="宋体"/>
          <w:b/>
          <w:sz w:val="24"/>
          <w:szCs w:val="24"/>
          <w:highlight w:val="none"/>
        </w:rPr>
        <w:t>特别声明：</w:t>
      </w:r>
      <w:r>
        <w:rPr>
          <w:rFonts w:hint="eastAsia" w:ascii="宋体" w:hAnsi="宋体" w:cs="宋体"/>
          <w:sz w:val="24"/>
          <w:szCs w:val="24"/>
          <w:highlight w:val="none"/>
        </w:rPr>
        <w:t>承包人办理理赔事宜的行为不会与分包人下属工人形成劳动关系，分包人保证其下属工人不会对承包人提起诉讼或仲裁，如果发生，则一切不利后果由分包人承担。</w:t>
      </w:r>
    </w:p>
    <w:p w14:paraId="7399EF04">
      <w:pPr>
        <w:spacing w:line="500" w:lineRule="exact"/>
        <w:ind w:firstLine="482" w:firstLineChars="200"/>
        <w:rPr>
          <w:rFonts w:hint="eastAsia" w:ascii="宋体" w:hAnsi="宋体" w:cs="宋体"/>
          <w:b/>
          <w:bCs/>
          <w:sz w:val="24"/>
          <w:szCs w:val="24"/>
          <w:highlight w:val="none"/>
        </w:rPr>
      </w:pPr>
      <w:bookmarkStart w:id="124" w:name="_Toc389586496"/>
      <w:r>
        <w:rPr>
          <w:rFonts w:hint="eastAsia" w:ascii="宋体" w:hAnsi="宋体" w:cs="宋体"/>
          <w:b/>
          <w:bCs/>
          <w:sz w:val="24"/>
          <w:szCs w:val="24"/>
          <w:highlight w:val="none"/>
        </w:rPr>
        <w:t>23. 索赔</w:t>
      </w:r>
      <w:bookmarkEnd w:id="124"/>
      <w:r>
        <w:rPr>
          <w:rFonts w:hint="eastAsia" w:ascii="宋体" w:hAnsi="宋体" w:cs="宋体"/>
          <w:b/>
          <w:bCs/>
          <w:sz w:val="24"/>
          <w:szCs w:val="24"/>
          <w:highlight w:val="none"/>
        </w:rPr>
        <w:t xml:space="preserve"> </w:t>
      </w:r>
    </w:p>
    <w:p w14:paraId="73736024">
      <w:pPr>
        <w:spacing w:line="500" w:lineRule="exact"/>
        <w:ind w:firstLine="482" w:firstLineChars="200"/>
        <w:rPr>
          <w:rFonts w:hint="eastAsia" w:ascii="宋体" w:hAnsi="宋体" w:cs="宋体"/>
          <w:b/>
          <w:bCs/>
          <w:sz w:val="24"/>
          <w:szCs w:val="24"/>
          <w:highlight w:val="none"/>
        </w:rPr>
      </w:pPr>
      <w:bookmarkStart w:id="125" w:name="_Toc389586497"/>
      <w:r>
        <w:rPr>
          <w:rFonts w:hint="eastAsia" w:ascii="宋体" w:hAnsi="宋体" w:cs="宋体"/>
          <w:b/>
          <w:bCs/>
          <w:sz w:val="24"/>
          <w:szCs w:val="24"/>
          <w:highlight w:val="none"/>
        </w:rPr>
        <w:t>23.1 对分包人索赔的处理</w:t>
      </w:r>
      <w:bookmarkEnd w:id="125"/>
    </w:p>
    <w:p w14:paraId="2C3C304D">
      <w:pPr>
        <w:wordWrap w:val="0"/>
        <w:adjustRightInd w:val="0"/>
        <w:snapToGrid w:val="0"/>
        <w:spacing w:line="500" w:lineRule="exact"/>
        <w:ind w:firstLine="480" w:firstLineChars="200"/>
        <w:jc w:val="left"/>
        <w:rPr>
          <w:rFonts w:hint="eastAsia" w:ascii="宋体" w:hAnsi="宋体" w:cs="宋体"/>
          <w:sz w:val="24"/>
          <w:szCs w:val="24"/>
          <w:highlight w:val="none"/>
        </w:rPr>
      </w:pPr>
      <w:bookmarkStart w:id="126" w:name="_Toc389586498"/>
      <w:r>
        <w:rPr>
          <w:rFonts w:hint="eastAsia" w:ascii="宋体" w:hAnsi="宋体" w:cs="宋体"/>
          <w:sz w:val="24"/>
          <w:szCs w:val="24"/>
          <w:highlight w:val="none"/>
        </w:rPr>
        <w:t>关于对分包人索赔的处理的约定： 不适用通用条款：“承包人应在收到索赔报告或有关原始记录副本后的35天内向分包人出具索赔处理结果。承包人逾期答复的，视为认可分包人的索赔要求。”</w:t>
      </w:r>
    </w:p>
    <w:p w14:paraId="1C15D11E">
      <w:pP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23.2 对承包人索赔的处理</w:t>
      </w:r>
      <w:bookmarkEnd w:id="126"/>
    </w:p>
    <w:p w14:paraId="0C0428E5">
      <w:pPr>
        <w:wordWrap w:val="0"/>
        <w:adjustRightInd w:val="0"/>
        <w:snapToGrid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关于对承包人索赔的处理的约定：</w:t>
      </w:r>
      <w:r>
        <w:rPr>
          <w:rFonts w:hint="eastAsia" w:ascii="宋体" w:hAnsi="宋体" w:cs="宋体"/>
          <w:sz w:val="24"/>
          <w:szCs w:val="24"/>
          <w:highlight w:val="none"/>
          <w:u w:val="single"/>
        </w:rPr>
        <w:t xml:space="preserve">  执行通用合同条款    </w:t>
      </w:r>
      <w:r>
        <w:rPr>
          <w:rFonts w:hint="eastAsia" w:ascii="宋体" w:hAnsi="宋体" w:cs="宋体"/>
          <w:sz w:val="24"/>
          <w:szCs w:val="24"/>
          <w:highlight w:val="none"/>
        </w:rPr>
        <w:t>。</w:t>
      </w:r>
    </w:p>
    <w:p w14:paraId="16A18720">
      <w:pP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24. 其他约定</w:t>
      </w:r>
    </w:p>
    <w:p w14:paraId="4DC9975D">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24.1 乙方应具有一定的风险承受能力，对本合同的资金支付与使用可能出现的各种不利因素已做出了合理的安排和保证。在合同履行过程中，如因业主拨付款项不及时导致甲方资金紧张，乙方应给予充分理解，乙方自愿放弃逾期付款的违约金、利息及各项损失费用。</w:t>
      </w:r>
    </w:p>
    <w:p w14:paraId="49C0A23A">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24.2 由于乙方的违法、违规或违约行为给甲方造成损失或甲方被起诉或仲裁，乙方需承担一切不利后果（该后果包括但不限于判决或裁决要求甲方支付的费用及甲方应诉所产生的差旅费、案件受理费、保全费、律师费等）。</w:t>
      </w:r>
    </w:p>
    <w:p w14:paraId="7E1C63EF">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24.3 未经甲方同意，乙方不得委托任何第三人（单位）向甲方主张任何权利。也不得发生到甲方滋事、聚众停留甲方办公场所、堵门或威胁甲方工作人员的人身安全等非正常办公行为。如发生上述行为，乙方应向甲方按照</w:t>
      </w:r>
      <w:r>
        <w:rPr>
          <w:rFonts w:hint="eastAsia" w:ascii="宋体" w:hAnsi="宋体" w:cs="宋体"/>
          <w:sz w:val="24"/>
          <w:szCs w:val="24"/>
          <w:highlight w:val="none"/>
          <w:u w:val="single"/>
        </w:rPr>
        <w:t>_3万元/次</w:t>
      </w:r>
      <w:r>
        <w:rPr>
          <w:rFonts w:hint="eastAsia" w:ascii="宋体" w:hAnsi="宋体" w:cs="宋体"/>
          <w:sz w:val="24"/>
          <w:szCs w:val="24"/>
          <w:highlight w:val="none"/>
        </w:rPr>
        <w:t>承担违约责任，并视为乙方自愿放弃本合同项下债权，甲方无须支付剩余款项。</w:t>
      </w:r>
    </w:p>
    <w:p w14:paraId="2232B200">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24.4 本合同的任何一方若与他方发生纠纷，而使另一方被列为被告或第三人、被执行人的，则视为该方放弃对另一方享有的一切债权，本合同自此终止，双方不再存在债权债务关系。</w:t>
      </w:r>
    </w:p>
    <w:p w14:paraId="0DE36C51">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24.5 未经甲方书面授权，甲方项目部章及项目部资料专用章不得用于签订经济合同或确认与经济相关事项，如发生使用此类未经授权印章签订的合同、协议及确认文书均为无效。乙方对此已明确知悉。</w:t>
      </w:r>
    </w:p>
    <w:bookmarkEnd w:id="47"/>
    <w:bookmarkEnd w:id="48"/>
    <w:bookmarkEnd w:id="49"/>
    <w:bookmarkEnd w:id="50"/>
    <w:bookmarkEnd w:id="51"/>
    <w:bookmarkEnd w:id="52"/>
    <w:p w14:paraId="68BF0962">
      <w:pPr>
        <w:spacing w:line="500" w:lineRule="exact"/>
        <w:ind w:firstLine="482" w:firstLineChars="200"/>
        <w:rPr>
          <w:rFonts w:hint="eastAsia" w:ascii="宋体" w:hAnsi="宋体" w:cs="宋体"/>
          <w:b/>
          <w:bCs/>
          <w:sz w:val="24"/>
          <w:szCs w:val="24"/>
          <w:highlight w:val="none"/>
        </w:rPr>
      </w:pPr>
    </w:p>
    <w:p w14:paraId="03D7EA05">
      <w:pPr>
        <w:spacing w:line="500" w:lineRule="exact"/>
        <w:ind w:firstLine="482" w:firstLineChars="200"/>
        <w:rPr>
          <w:rFonts w:hint="eastAsia" w:ascii="宋体" w:hAnsi="宋体" w:cs="宋体"/>
          <w:b/>
          <w:bCs/>
          <w:sz w:val="24"/>
          <w:szCs w:val="24"/>
          <w:highlight w:val="none"/>
        </w:rPr>
      </w:pPr>
    </w:p>
    <w:p w14:paraId="0D396722">
      <w:pPr>
        <w:spacing w:line="50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专用合同条款附件：</w:t>
      </w:r>
    </w:p>
    <w:p w14:paraId="6E36485C">
      <w:pPr>
        <w:wordWrap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附件一：工程质量保修书</w:t>
      </w:r>
    </w:p>
    <w:p w14:paraId="3382D66D">
      <w:pPr>
        <w:wordWrap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附件二：建筑施工安全生产协议</w:t>
      </w:r>
    </w:p>
    <w:p w14:paraId="3D68E7BE">
      <w:pPr>
        <w:wordWrap w:val="0"/>
        <w:spacing w:line="360" w:lineRule="auto"/>
        <w:ind w:firstLine="480" w:firstLineChars="200"/>
        <w:jc w:val="left"/>
        <w:rPr>
          <w:rFonts w:hint="eastAsia" w:ascii="宋体" w:hAnsi="宋体"/>
          <w:sz w:val="24"/>
          <w:highlight w:val="none"/>
        </w:rPr>
      </w:pPr>
      <w:r>
        <w:rPr>
          <w:rFonts w:hint="eastAsia" w:ascii="宋体" w:hAnsi="宋体"/>
          <w:sz w:val="24"/>
          <w:highlight w:val="none"/>
        </w:rPr>
        <w:t>附件三：建筑施工环境保护协议</w:t>
      </w:r>
    </w:p>
    <w:p w14:paraId="7C8F3D2F">
      <w:pPr>
        <w:wordWrap w:val="0"/>
        <w:spacing w:line="500" w:lineRule="exact"/>
        <w:ind w:firstLine="480" w:firstLineChars="200"/>
        <w:jc w:val="left"/>
        <w:rPr>
          <w:rFonts w:hint="eastAsia" w:ascii="宋体" w:hAnsi="宋体" w:cs="宋体"/>
          <w:sz w:val="24"/>
          <w:szCs w:val="24"/>
          <w:highlight w:val="none"/>
        </w:rPr>
        <w:sectPr>
          <w:footerReference r:id="rId6" w:type="default"/>
          <w:pgSz w:w="11906" w:h="16838"/>
          <w:pgMar w:top="1304" w:right="1701" w:bottom="1304" w:left="1701" w:header="851" w:footer="992" w:gutter="0"/>
          <w:pgNumType w:start="8"/>
          <w:cols w:space="0" w:num="1"/>
          <w:docGrid w:type="lines" w:linePitch="312" w:charSpace="0"/>
        </w:sectPr>
      </w:pPr>
      <w:r>
        <w:rPr>
          <w:rFonts w:hint="eastAsia" w:ascii="宋体" w:hAnsi="宋体" w:cs="宋体"/>
          <w:sz w:val="24"/>
          <w:szCs w:val="24"/>
          <w:highlight w:val="none"/>
        </w:rPr>
        <w:t>附件四：农民工工资支付承诺书</w:t>
      </w:r>
    </w:p>
    <w:p w14:paraId="1E2B3A20">
      <w:pPr>
        <w:wordWrap w:val="0"/>
        <w:spacing w:line="500" w:lineRule="exact"/>
        <w:rPr>
          <w:rFonts w:hint="eastAsia" w:ascii="宋体" w:hAnsi="宋体" w:cs="宋体"/>
          <w:sz w:val="24"/>
          <w:szCs w:val="24"/>
          <w:highlight w:val="none"/>
        </w:rPr>
      </w:pPr>
      <w:r>
        <w:rPr>
          <w:rFonts w:hint="eastAsia" w:ascii="宋体" w:hAnsi="宋体" w:cs="宋体"/>
          <w:sz w:val="24"/>
          <w:szCs w:val="24"/>
          <w:highlight w:val="none"/>
        </w:rPr>
        <w:t>附</w:t>
      </w:r>
      <w:bookmarkStart w:id="127" w:name="_Toc296347225"/>
      <w:bookmarkStart w:id="128" w:name="_Toc296891054"/>
      <w:bookmarkStart w:id="129" w:name="_Toc296503226"/>
      <w:bookmarkStart w:id="130" w:name="_Toc296346727"/>
      <w:bookmarkStart w:id="131" w:name="_Toc296944565"/>
      <w:bookmarkStart w:id="132" w:name="_Toc267261693"/>
      <w:bookmarkStart w:id="133" w:name="_Toc296891266"/>
      <w:r>
        <w:rPr>
          <w:rFonts w:hint="eastAsia" w:ascii="宋体" w:hAnsi="宋体" w:cs="宋体"/>
          <w:sz w:val="24"/>
          <w:szCs w:val="24"/>
          <w:highlight w:val="none"/>
        </w:rPr>
        <w:t>件一：</w:t>
      </w:r>
      <w:bookmarkEnd w:id="127"/>
      <w:bookmarkEnd w:id="128"/>
      <w:bookmarkEnd w:id="129"/>
      <w:bookmarkEnd w:id="130"/>
      <w:bookmarkEnd w:id="131"/>
      <w:bookmarkEnd w:id="132"/>
      <w:bookmarkEnd w:id="133"/>
      <w:r>
        <w:rPr>
          <w:rFonts w:hint="eastAsia" w:ascii="宋体" w:hAnsi="宋体" w:cs="宋体"/>
          <w:sz w:val="24"/>
          <w:szCs w:val="24"/>
          <w:highlight w:val="none"/>
        </w:rPr>
        <w:t xml:space="preserve">    </w:t>
      </w:r>
    </w:p>
    <w:p w14:paraId="7B618F73">
      <w:pPr>
        <w:wordWrap w:val="0"/>
        <w:spacing w:before="156" w:beforeLines="50" w:after="156" w:afterLines="50" w:line="500" w:lineRule="exact"/>
        <w:ind w:firstLine="482"/>
        <w:jc w:val="center"/>
        <w:rPr>
          <w:rFonts w:hint="eastAsia" w:ascii="宋体" w:hAnsi="宋体" w:cs="宋体"/>
          <w:b/>
          <w:bCs/>
          <w:sz w:val="24"/>
          <w:szCs w:val="24"/>
          <w:highlight w:val="none"/>
        </w:rPr>
      </w:pPr>
      <w:r>
        <w:rPr>
          <w:rFonts w:hint="eastAsia" w:ascii="宋体" w:hAnsi="宋体" w:cs="宋体"/>
          <w:b/>
          <w:bCs/>
          <w:sz w:val="24"/>
          <w:szCs w:val="24"/>
          <w:highlight w:val="none"/>
        </w:rPr>
        <w:t>工程质量保修书</w:t>
      </w:r>
    </w:p>
    <w:p w14:paraId="68C926F6">
      <w:pPr>
        <w:wordWrap w:val="0"/>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承包人（全称）：</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w:t>
      </w:r>
    </w:p>
    <w:p w14:paraId="07E892B2">
      <w:pPr>
        <w:wordWrap w:val="0"/>
        <w:spacing w:line="500" w:lineRule="exact"/>
        <w:rPr>
          <w:rFonts w:hint="eastAsia" w:ascii="宋体" w:hAnsi="宋体" w:cs="宋体"/>
          <w:sz w:val="24"/>
          <w:szCs w:val="24"/>
          <w:highlight w:val="none"/>
        </w:rPr>
      </w:pPr>
      <w:r>
        <w:rPr>
          <w:rFonts w:hint="eastAsia" w:ascii="宋体" w:hAnsi="宋体" w:cs="宋体"/>
          <w:sz w:val="24"/>
          <w:szCs w:val="24"/>
          <w:highlight w:val="none"/>
        </w:rPr>
        <w:t>　　分包人（全称）：</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w:t>
      </w:r>
    </w:p>
    <w:p w14:paraId="00507CA7">
      <w:pPr>
        <w:wordWrap w:val="0"/>
        <w:spacing w:line="500" w:lineRule="exact"/>
        <w:rPr>
          <w:rFonts w:hint="eastAsia" w:ascii="宋体" w:hAnsi="宋体" w:cs="宋体"/>
          <w:sz w:val="24"/>
          <w:szCs w:val="24"/>
          <w:highlight w:val="none"/>
        </w:rPr>
      </w:pPr>
      <w:r>
        <w:rPr>
          <w:rFonts w:hint="eastAsia" w:ascii="宋体" w:hAnsi="宋体" w:cs="宋体"/>
          <w:sz w:val="24"/>
          <w:szCs w:val="24"/>
          <w:highlight w:val="none"/>
        </w:rPr>
        <w:t>　　承包人和分包人根据《中华人民共和国建筑法》和《建设工程质量管理条例》，经协商一致就</w:t>
      </w:r>
      <w:r>
        <w:rPr>
          <w:rFonts w:hint="eastAsia" w:ascii="宋体" w:hAnsi="宋体" w:cs="宋体"/>
          <w:sz w:val="24"/>
          <w:szCs w:val="24"/>
          <w:highlight w:val="none"/>
          <w:u w:val="single"/>
        </w:rPr>
        <w:t xml:space="preserve">                </w:t>
      </w:r>
      <w:r>
        <w:rPr>
          <w:rFonts w:hint="eastAsia" w:ascii="宋体" w:hAnsi="宋体" w:cs="宋体"/>
          <w:sz w:val="24"/>
          <w:szCs w:val="24"/>
          <w:highlight w:val="none"/>
        </w:rPr>
        <w:t>签订工程质量保修书。</w:t>
      </w:r>
    </w:p>
    <w:p w14:paraId="2ACAB8CF">
      <w:pPr>
        <w:wordWrap w:val="0"/>
        <w:spacing w:line="500" w:lineRule="exact"/>
        <w:rPr>
          <w:rFonts w:hint="eastAsia" w:ascii="宋体" w:hAnsi="宋体" w:cs="宋体"/>
          <w:sz w:val="24"/>
          <w:szCs w:val="24"/>
          <w:highlight w:val="none"/>
        </w:rPr>
      </w:pPr>
      <w:r>
        <w:rPr>
          <w:rFonts w:hint="eastAsia" w:ascii="宋体" w:hAnsi="宋体" w:cs="宋体"/>
          <w:sz w:val="24"/>
          <w:szCs w:val="24"/>
          <w:highlight w:val="none"/>
        </w:rPr>
        <w:t>　　</w:t>
      </w:r>
      <w:r>
        <w:rPr>
          <w:rFonts w:hint="eastAsia" w:ascii="宋体" w:hAnsi="宋体" w:cs="宋体"/>
          <w:b/>
          <w:bCs/>
          <w:sz w:val="24"/>
          <w:szCs w:val="24"/>
          <w:highlight w:val="none"/>
        </w:rPr>
        <w:t>一、工程质量保修范围和内容</w:t>
      </w:r>
    </w:p>
    <w:p w14:paraId="3E20A223">
      <w:pPr>
        <w:wordWrap w:val="0"/>
        <w:spacing w:line="500" w:lineRule="exact"/>
        <w:rPr>
          <w:rFonts w:hint="eastAsia" w:ascii="宋体" w:hAnsi="宋体" w:cs="宋体"/>
          <w:sz w:val="24"/>
          <w:szCs w:val="24"/>
          <w:highlight w:val="none"/>
        </w:rPr>
      </w:pPr>
      <w:r>
        <w:rPr>
          <w:rFonts w:hint="eastAsia" w:ascii="宋体" w:hAnsi="宋体" w:cs="宋体"/>
          <w:sz w:val="24"/>
          <w:szCs w:val="24"/>
          <w:highlight w:val="none"/>
        </w:rPr>
        <w:t>　　分包人在保修期内，按照有关法律规定和合同约定，承担工程质量保修责任。</w:t>
      </w:r>
    </w:p>
    <w:p w14:paraId="04F8DEC7">
      <w:pPr>
        <w:wordWrap w:val="0"/>
        <w:spacing w:line="500" w:lineRule="exact"/>
        <w:rPr>
          <w:rFonts w:hint="eastAsia" w:ascii="宋体" w:hAnsi="宋体" w:cs="宋体"/>
          <w:sz w:val="24"/>
          <w:szCs w:val="24"/>
          <w:highlight w:val="none"/>
        </w:rPr>
      </w:pPr>
      <w:r>
        <w:rPr>
          <w:rFonts w:hint="eastAsia" w:ascii="宋体" w:hAnsi="宋体" w:cs="宋体"/>
          <w:sz w:val="24"/>
          <w:szCs w:val="24"/>
          <w:highlight w:val="none"/>
        </w:rPr>
        <w:t>　　质量保修范围和内容：全部分包工程内容。</w:t>
      </w:r>
    </w:p>
    <w:p w14:paraId="5A872566">
      <w:pPr>
        <w:wordWrap w:val="0"/>
        <w:spacing w:line="500" w:lineRule="exact"/>
        <w:ind w:firstLine="482"/>
        <w:rPr>
          <w:rFonts w:hint="eastAsia" w:ascii="宋体" w:hAnsi="宋体" w:cs="宋体"/>
          <w:sz w:val="24"/>
          <w:szCs w:val="24"/>
          <w:highlight w:val="none"/>
        </w:rPr>
      </w:pPr>
      <w:r>
        <w:rPr>
          <w:rFonts w:hint="eastAsia" w:ascii="宋体" w:hAnsi="宋体" w:cs="宋体"/>
          <w:b/>
          <w:sz w:val="24"/>
          <w:szCs w:val="24"/>
          <w:highlight w:val="none"/>
        </w:rPr>
        <w:t>　　</w:t>
      </w:r>
      <w:r>
        <w:rPr>
          <w:rFonts w:hint="eastAsia" w:ascii="宋体" w:hAnsi="宋体" w:cs="宋体"/>
          <w:b/>
          <w:bCs/>
          <w:sz w:val="24"/>
          <w:szCs w:val="24"/>
          <w:highlight w:val="none"/>
        </w:rPr>
        <w:t>二、保修期</w:t>
      </w:r>
    </w:p>
    <w:p w14:paraId="0DB2A13C">
      <w:pPr>
        <w:wordWrap w:val="0"/>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根据《建设工程质量管理条例》及有关规定，分包工程的保修期如下：本工程质量保修期1年。</w:t>
      </w:r>
    </w:p>
    <w:p w14:paraId="18E032D9">
      <w:pPr>
        <w:wordWrap w:val="0"/>
        <w:spacing w:line="500" w:lineRule="exact"/>
        <w:rPr>
          <w:rFonts w:hint="eastAsia" w:ascii="宋体" w:hAnsi="宋体" w:cs="宋体"/>
          <w:sz w:val="24"/>
          <w:szCs w:val="24"/>
          <w:highlight w:val="none"/>
        </w:rPr>
      </w:pPr>
      <w:r>
        <w:rPr>
          <w:rFonts w:hint="eastAsia" w:ascii="宋体" w:hAnsi="宋体" w:cs="宋体"/>
          <w:sz w:val="24"/>
          <w:szCs w:val="24"/>
          <w:highlight w:val="none"/>
        </w:rPr>
        <w:t>　　保修期自</w:t>
      </w:r>
      <w:r>
        <w:rPr>
          <w:rFonts w:hint="eastAsia" w:ascii="宋体" w:hAnsi="宋体" w:cs="宋体"/>
          <w:kern w:val="0"/>
          <w:sz w:val="24"/>
          <w:szCs w:val="24"/>
          <w:highlight w:val="none"/>
        </w:rPr>
        <w:t>分包工程竣工验收合格之日</w:t>
      </w:r>
      <w:r>
        <w:rPr>
          <w:rFonts w:hint="eastAsia" w:ascii="宋体" w:hAnsi="宋体" w:cs="宋体"/>
          <w:sz w:val="24"/>
          <w:szCs w:val="24"/>
          <w:highlight w:val="none"/>
        </w:rPr>
        <w:t>起计算。</w:t>
      </w:r>
    </w:p>
    <w:p w14:paraId="6C0B5D36">
      <w:pPr>
        <w:wordWrap w:val="0"/>
        <w:spacing w:line="500" w:lineRule="exact"/>
        <w:ind w:firstLine="482" w:firstLineChars="200"/>
        <w:rPr>
          <w:rFonts w:hint="eastAsia" w:ascii="宋体" w:hAnsi="宋体" w:cs="宋体"/>
          <w:sz w:val="24"/>
          <w:szCs w:val="24"/>
          <w:highlight w:val="none"/>
        </w:rPr>
      </w:pPr>
      <w:r>
        <w:rPr>
          <w:rFonts w:hint="eastAsia" w:ascii="宋体" w:hAnsi="宋体" w:cs="宋体"/>
          <w:b/>
          <w:bCs/>
          <w:sz w:val="24"/>
          <w:szCs w:val="24"/>
          <w:highlight w:val="none"/>
        </w:rPr>
        <w:t>三、缺陷责任期</w:t>
      </w:r>
    </w:p>
    <w:p w14:paraId="0B03CB2B">
      <w:pPr>
        <w:wordWrap w:val="0"/>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分包工程缺陷责任期为24个月，缺陷责任期自分包工程竣工验收合格之日起计算。</w:t>
      </w:r>
    </w:p>
    <w:p w14:paraId="2B95EF7D">
      <w:pPr>
        <w:wordWrap w:val="0"/>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缺陷责任期终止后，如无质量问题承包人应退还剩余的质量保证金。</w:t>
      </w:r>
    </w:p>
    <w:p w14:paraId="32115119">
      <w:pPr>
        <w:wordWrap w:val="0"/>
        <w:spacing w:line="500" w:lineRule="exact"/>
        <w:rPr>
          <w:rFonts w:hint="eastAsia" w:ascii="宋体" w:hAnsi="宋体" w:cs="宋体"/>
          <w:sz w:val="24"/>
          <w:szCs w:val="24"/>
          <w:highlight w:val="none"/>
        </w:rPr>
      </w:pPr>
      <w:r>
        <w:rPr>
          <w:rFonts w:hint="eastAsia" w:ascii="宋体" w:hAnsi="宋体" w:cs="宋体"/>
          <w:sz w:val="24"/>
          <w:szCs w:val="24"/>
          <w:highlight w:val="none"/>
        </w:rPr>
        <w:t xml:space="preserve">    </w:t>
      </w:r>
      <w:r>
        <w:rPr>
          <w:rFonts w:hint="eastAsia" w:ascii="宋体" w:hAnsi="宋体" w:cs="宋体"/>
          <w:b/>
          <w:bCs/>
          <w:sz w:val="24"/>
          <w:szCs w:val="24"/>
          <w:highlight w:val="none"/>
        </w:rPr>
        <w:t>四、质量保修责任</w:t>
      </w:r>
    </w:p>
    <w:p w14:paraId="5D60F8E2">
      <w:pPr>
        <w:wordWrap w:val="0"/>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1．属于保修范围、内容的项目，分包人应当在接到保修通知之日起3天内派人保修。分包人不在约定期限内派人保修的，承包人可以委托他人修理。</w:t>
      </w:r>
    </w:p>
    <w:p w14:paraId="6C38D6E8">
      <w:pPr>
        <w:wordWrap w:val="0"/>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2．发生紧急事故需抢修的，分包人在接到事故通知后，应当立即到达事故现场抢修。</w:t>
      </w:r>
    </w:p>
    <w:p w14:paraId="5B997632">
      <w:pPr>
        <w:wordWrap w:val="0"/>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对于涉及结构安全的质量问题，分包人应当按照《建设工程质量管理条例》的规定，立即向当地建设行政主管部门和有关部门报告，采取安全防范措施，并由原设计人或者具有相应资质等级的设计人提出保修方案，分包人实施保修。</w:t>
      </w:r>
    </w:p>
    <w:p w14:paraId="29583601">
      <w:pPr>
        <w:wordWrap w:val="0"/>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4．质量保修完成后，由承包人组织验收。</w:t>
      </w:r>
    </w:p>
    <w:p w14:paraId="381C9609">
      <w:pPr>
        <w:wordWrap w:val="0"/>
        <w:spacing w:line="500" w:lineRule="exact"/>
        <w:rPr>
          <w:rFonts w:hint="eastAsia" w:ascii="宋体" w:hAnsi="宋体" w:cs="宋体"/>
          <w:sz w:val="24"/>
          <w:szCs w:val="24"/>
          <w:highlight w:val="none"/>
        </w:rPr>
      </w:pPr>
      <w:r>
        <w:rPr>
          <w:rFonts w:hint="eastAsia" w:ascii="宋体" w:hAnsi="宋体" w:cs="宋体"/>
          <w:sz w:val="24"/>
          <w:szCs w:val="24"/>
          <w:highlight w:val="none"/>
        </w:rPr>
        <w:t>　　</w:t>
      </w:r>
      <w:r>
        <w:rPr>
          <w:rFonts w:hint="eastAsia" w:ascii="宋体" w:hAnsi="宋体" w:cs="宋体"/>
          <w:b/>
          <w:bCs/>
          <w:sz w:val="24"/>
          <w:szCs w:val="24"/>
          <w:highlight w:val="none"/>
        </w:rPr>
        <w:t>五、保修费用</w:t>
      </w:r>
    </w:p>
    <w:p w14:paraId="3BB4B0A9">
      <w:pPr>
        <w:wordWrap w:val="0"/>
        <w:spacing w:line="500" w:lineRule="exact"/>
        <w:rPr>
          <w:rFonts w:hint="eastAsia" w:ascii="宋体" w:hAnsi="宋体" w:cs="宋体"/>
          <w:sz w:val="24"/>
          <w:szCs w:val="24"/>
          <w:highlight w:val="none"/>
        </w:rPr>
      </w:pPr>
      <w:r>
        <w:rPr>
          <w:rFonts w:hint="eastAsia" w:ascii="宋体" w:hAnsi="宋体" w:cs="宋体"/>
          <w:sz w:val="24"/>
          <w:szCs w:val="24"/>
          <w:highlight w:val="none"/>
        </w:rPr>
        <w:t>　　保修费用由造成质量缺陷的责任方承担。</w:t>
      </w:r>
    </w:p>
    <w:p w14:paraId="1DEA119F">
      <w:pPr>
        <w:wordWrap w:val="0"/>
        <w:spacing w:line="500" w:lineRule="exact"/>
        <w:ind w:firstLine="482" w:firstLineChars="200"/>
        <w:rPr>
          <w:rFonts w:hint="eastAsia" w:ascii="宋体" w:hAnsi="宋体" w:cs="宋体"/>
          <w:sz w:val="24"/>
          <w:szCs w:val="24"/>
          <w:highlight w:val="none"/>
        </w:rPr>
      </w:pPr>
      <w:r>
        <w:rPr>
          <w:rFonts w:hint="eastAsia" w:ascii="宋体" w:hAnsi="宋体" w:cs="宋体"/>
          <w:b/>
          <w:bCs/>
          <w:sz w:val="24"/>
          <w:szCs w:val="24"/>
          <w:highlight w:val="none"/>
        </w:rPr>
        <w:t>六、双方约定的其他工程质量保修事项：</w:t>
      </w:r>
      <w:r>
        <w:rPr>
          <w:rFonts w:hint="eastAsia" w:ascii="宋体" w:hAnsi="宋体" w:cs="宋体"/>
          <w:sz w:val="24"/>
          <w:szCs w:val="24"/>
          <w:highlight w:val="none"/>
          <w:u w:val="single"/>
        </w:rPr>
        <w:t xml:space="preserve">             无              </w:t>
      </w:r>
      <w:r>
        <w:rPr>
          <w:rFonts w:hint="eastAsia" w:ascii="宋体" w:hAnsi="宋体" w:cs="宋体"/>
          <w:sz w:val="24"/>
          <w:szCs w:val="24"/>
          <w:highlight w:val="none"/>
        </w:rPr>
        <w:t>。</w:t>
      </w:r>
    </w:p>
    <w:p w14:paraId="37B2CC84">
      <w:pPr>
        <w:wordWrap w:val="0"/>
        <w:spacing w:line="500" w:lineRule="exact"/>
        <w:ind w:firstLine="456" w:firstLineChars="190"/>
        <w:rPr>
          <w:rFonts w:hint="eastAsia" w:ascii="宋体" w:hAnsi="宋体" w:cs="宋体"/>
          <w:sz w:val="24"/>
          <w:szCs w:val="24"/>
          <w:highlight w:val="none"/>
        </w:rPr>
      </w:pPr>
      <w:r>
        <w:rPr>
          <w:rFonts w:hint="eastAsia" w:ascii="宋体" w:hAnsi="宋体" w:cs="宋体"/>
          <w:sz w:val="24"/>
          <w:szCs w:val="24"/>
          <w:highlight w:val="none"/>
        </w:rPr>
        <w:t>工程质量保修书由承包人、分包人在工程完工验收前共同签署，作为分包合同的附件，其有效期限至保修期满。</w:t>
      </w:r>
    </w:p>
    <w:p w14:paraId="615CAFEE">
      <w:pPr>
        <w:wordWrap w:val="0"/>
        <w:spacing w:line="360" w:lineRule="auto"/>
        <w:rPr>
          <w:rFonts w:hint="eastAsia" w:ascii="宋体" w:hAnsi="宋体" w:cs="宋体"/>
          <w:sz w:val="24"/>
          <w:szCs w:val="24"/>
          <w:highlight w:val="none"/>
        </w:rPr>
      </w:pPr>
    </w:p>
    <w:p w14:paraId="3BD61E58">
      <w:pPr>
        <w:wordWrap w:val="0"/>
        <w:spacing w:line="360" w:lineRule="auto"/>
        <w:rPr>
          <w:rFonts w:hint="eastAsia" w:ascii="宋体" w:hAnsi="宋体" w:cs="宋体"/>
          <w:sz w:val="24"/>
          <w:szCs w:val="24"/>
          <w:highlight w:val="none"/>
        </w:rPr>
      </w:pPr>
    </w:p>
    <w:p w14:paraId="2056EA7D">
      <w:pPr>
        <w:wordWrap w:val="0"/>
        <w:spacing w:line="360" w:lineRule="auto"/>
        <w:rPr>
          <w:rFonts w:hint="eastAsia" w:ascii="宋体" w:hAnsi="宋体" w:cs="宋体"/>
          <w:sz w:val="24"/>
          <w:szCs w:val="24"/>
          <w:highlight w:val="none"/>
        </w:rPr>
      </w:pPr>
      <w:r>
        <w:rPr>
          <w:rFonts w:hint="eastAsia" w:ascii="宋体" w:hAnsi="宋体" w:cs="宋体"/>
          <w:sz w:val="24"/>
          <w:szCs w:val="24"/>
          <w:highlight w:val="none"/>
        </w:rPr>
        <w:t>承包人(公章)：                    分包人(公章)：</w:t>
      </w:r>
    </w:p>
    <w:p w14:paraId="416E930E">
      <w:pPr>
        <w:wordWrap w:val="0"/>
        <w:spacing w:line="360" w:lineRule="auto"/>
        <w:rPr>
          <w:rFonts w:hint="eastAsia" w:ascii="宋体" w:hAnsi="宋体" w:cs="宋体"/>
          <w:sz w:val="24"/>
          <w:szCs w:val="24"/>
          <w:highlight w:val="none"/>
        </w:rPr>
      </w:pPr>
    </w:p>
    <w:p w14:paraId="4A0C4B2A">
      <w:pPr>
        <w:spacing w:line="700" w:lineRule="exact"/>
        <w:rPr>
          <w:rFonts w:hint="eastAsia" w:ascii="宋体" w:hAnsi="宋体" w:cs="宋体"/>
          <w:sz w:val="24"/>
          <w:szCs w:val="24"/>
          <w:highlight w:val="none"/>
          <w:u w:val="single"/>
        </w:rPr>
      </w:pPr>
      <w:r>
        <w:rPr>
          <w:rFonts w:hint="eastAsia" w:ascii="宋体" w:hAnsi="宋体" w:cs="宋体"/>
          <w:sz w:val="24"/>
          <w:szCs w:val="24"/>
          <w:highlight w:val="none"/>
        </w:rPr>
        <w:t>地  址：</w:t>
      </w:r>
      <w:r>
        <w:rPr>
          <w:rFonts w:hint="eastAsia" w:ascii="宋体" w:hAnsi="宋体" w:cs="宋体"/>
          <w:sz w:val="24"/>
          <w:szCs w:val="24"/>
          <w:highlight w:val="none"/>
          <w:u w:val="single"/>
        </w:rPr>
        <w:t xml:space="preserve"> 山西省长治市屯留区 </w:t>
      </w:r>
      <w:r>
        <w:rPr>
          <w:rFonts w:hint="eastAsia" w:ascii="宋体" w:hAnsi="宋体" w:cs="宋体"/>
          <w:sz w:val="24"/>
          <w:szCs w:val="24"/>
          <w:highlight w:val="none"/>
        </w:rPr>
        <w:t xml:space="preserve">       地  址： </w:t>
      </w:r>
      <w:r>
        <w:rPr>
          <w:rFonts w:hint="eastAsia" w:ascii="宋体" w:hAnsi="宋体" w:cs="宋体"/>
          <w:sz w:val="24"/>
          <w:szCs w:val="24"/>
          <w:highlight w:val="none"/>
          <w:u w:val="single"/>
        </w:rPr>
        <w:t xml:space="preserve">                   </w:t>
      </w:r>
    </w:p>
    <w:p w14:paraId="54AC643F">
      <w:pPr>
        <w:wordWrap w:val="0"/>
        <w:spacing w:line="700" w:lineRule="exact"/>
        <w:ind w:firstLine="960" w:firstLineChars="400"/>
        <w:rPr>
          <w:rFonts w:hint="eastAsia" w:ascii="宋体" w:hAnsi="宋体" w:cs="宋体"/>
          <w:sz w:val="24"/>
          <w:szCs w:val="24"/>
          <w:highlight w:val="none"/>
        </w:rPr>
      </w:pPr>
      <w:r>
        <w:rPr>
          <w:rFonts w:hint="eastAsia" w:ascii="宋体" w:hAnsi="宋体" w:cs="宋体"/>
          <w:sz w:val="24"/>
          <w:szCs w:val="24"/>
          <w:highlight w:val="none"/>
          <w:u w:val="single"/>
        </w:rPr>
        <w:t xml:space="preserve">渔泽镇北渔泽村西 </w:t>
      </w:r>
      <w:r>
        <w:rPr>
          <w:rFonts w:hint="eastAsia" w:ascii="宋体" w:hAnsi="宋体" w:cs="宋体"/>
          <w:sz w:val="24"/>
          <w:szCs w:val="24"/>
          <w:highlight w:val="none"/>
        </w:rPr>
        <w:t xml:space="preserve">                    </w:t>
      </w:r>
    </w:p>
    <w:p w14:paraId="748EA47E">
      <w:pPr>
        <w:wordWrap w:val="0"/>
        <w:spacing w:line="1000" w:lineRule="exact"/>
        <w:rPr>
          <w:rFonts w:hint="eastAsia" w:ascii="宋体" w:hAnsi="宋体" w:cs="宋体"/>
          <w:sz w:val="24"/>
          <w:szCs w:val="24"/>
          <w:highlight w:val="none"/>
        </w:rPr>
      </w:pPr>
      <w:r>
        <w:rPr>
          <w:rFonts w:hint="eastAsia" w:ascii="宋体" w:hAnsi="宋体" w:cs="宋体"/>
          <w:sz w:val="24"/>
          <w:szCs w:val="24"/>
          <w:highlight w:val="none"/>
        </w:rPr>
        <w:t>法定代表人(签字)：                  法定代表人(签字)：</w:t>
      </w:r>
    </w:p>
    <w:p w14:paraId="1F496D49">
      <w:pPr>
        <w:wordWrap w:val="0"/>
        <w:spacing w:line="1000" w:lineRule="exact"/>
        <w:rPr>
          <w:rFonts w:hint="eastAsia" w:ascii="宋体" w:hAnsi="宋体" w:cs="宋体"/>
          <w:sz w:val="24"/>
          <w:szCs w:val="24"/>
          <w:highlight w:val="none"/>
        </w:rPr>
      </w:pPr>
      <w:r>
        <w:rPr>
          <w:rFonts w:hint="eastAsia" w:ascii="宋体" w:hAnsi="宋体" w:cs="宋体"/>
          <w:sz w:val="24"/>
          <w:szCs w:val="24"/>
          <w:highlight w:val="none"/>
        </w:rPr>
        <w:t>委托代理人(签字)：                  委托代理人(签字)：</w:t>
      </w:r>
    </w:p>
    <w:p w14:paraId="5EF25891">
      <w:pPr>
        <w:wordWrap w:val="0"/>
        <w:adjustRightInd w:val="0"/>
        <w:snapToGrid w:val="0"/>
        <w:spacing w:line="1000" w:lineRule="exact"/>
        <w:rPr>
          <w:rFonts w:hint="eastAsia" w:ascii="宋体" w:hAnsi="宋体" w:cs="宋体"/>
          <w:sz w:val="24"/>
          <w:szCs w:val="24"/>
          <w:highlight w:val="none"/>
          <w:u w:val="single"/>
        </w:rPr>
      </w:pPr>
      <w:r>
        <w:rPr>
          <w:rFonts w:hint="eastAsia" w:ascii="宋体" w:hAnsi="宋体" w:cs="宋体"/>
          <w:sz w:val="24"/>
          <w:szCs w:val="24"/>
          <w:highlight w:val="none"/>
        </w:rPr>
        <w:t>电  话：</w:t>
      </w:r>
      <w:r>
        <w:rPr>
          <w:rFonts w:hint="eastAsia" w:ascii="宋体" w:hAnsi="宋体" w:cs="宋体"/>
          <w:sz w:val="24"/>
          <w:szCs w:val="24"/>
          <w:highlight w:val="none"/>
          <w:u w:val="single"/>
        </w:rPr>
        <w:t xml:space="preserve">   0355—5945905     </w:t>
      </w:r>
      <w:r>
        <w:rPr>
          <w:rFonts w:hint="eastAsia" w:ascii="宋体" w:hAnsi="宋体" w:cs="宋体"/>
          <w:sz w:val="24"/>
          <w:szCs w:val="24"/>
          <w:highlight w:val="none"/>
        </w:rPr>
        <w:t xml:space="preserve">       电  话： </w:t>
      </w:r>
      <w:r>
        <w:rPr>
          <w:rFonts w:hint="eastAsia" w:ascii="宋体" w:hAnsi="宋体" w:cs="宋体"/>
          <w:sz w:val="24"/>
          <w:szCs w:val="24"/>
          <w:highlight w:val="none"/>
          <w:u w:val="single"/>
        </w:rPr>
        <w:t xml:space="preserve">                   </w:t>
      </w:r>
    </w:p>
    <w:p w14:paraId="123CA4B8">
      <w:pPr>
        <w:wordWrap w:val="0"/>
        <w:adjustRightInd w:val="0"/>
        <w:snapToGrid w:val="0"/>
        <w:spacing w:line="700" w:lineRule="exact"/>
        <w:rPr>
          <w:rFonts w:hint="eastAsia" w:ascii="宋体" w:hAnsi="宋体" w:cs="宋体"/>
          <w:sz w:val="24"/>
          <w:szCs w:val="24"/>
          <w:highlight w:val="none"/>
        </w:rPr>
      </w:pPr>
      <w:r>
        <w:rPr>
          <w:rFonts w:hint="eastAsia" w:ascii="宋体" w:hAnsi="宋体" w:cs="宋体"/>
          <w:sz w:val="24"/>
          <w:szCs w:val="24"/>
          <w:highlight w:val="none"/>
        </w:rPr>
        <w:t>传  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传  真：</w:t>
      </w:r>
      <w:r>
        <w:rPr>
          <w:rFonts w:hint="eastAsia" w:ascii="宋体" w:hAnsi="宋体" w:cs="宋体"/>
          <w:sz w:val="24"/>
          <w:szCs w:val="24"/>
          <w:highlight w:val="none"/>
          <w:u w:val="single"/>
        </w:rPr>
        <w:t xml:space="preserve">                    </w:t>
      </w:r>
    </w:p>
    <w:p w14:paraId="3B87EBDA">
      <w:pPr>
        <w:wordWrap w:val="0"/>
        <w:spacing w:line="700" w:lineRule="exact"/>
        <w:rPr>
          <w:rFonts w:hint="eastAsia" w:ascii="宋体" w:hAnsi="宋体" w:cs="宋体"/>
          <w:sz w:val="24"/>
          <w:szCs w:val="24"/>
          <w:highlight w:val="none"/>
          <w:u w:val="single"/>
        </w:rPr>
      </w:pPr>
      <w:r>
        <w:rPr>
          <w:rFonts w:hint="eastAsia" w:ascii="宋体" w:hAnsi="宋体" w:cs="宋体"/>
          <w:sz w:val="24"/>
          <w:szCs w:val="24"/>
          <w:highlight w:val="none"/>
        </w:rPr>
        <w:t>开户银行：</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开户银行：</w:t>
      </w:r>
      <w:r>
        <w:rPr>
          <w:rFonts w:hint="eastAsia" w:ascii="宋体" w:hAnsi="宋体" w:cs="宋体"/>
          <w:sz w:val="24"/>
          <w:szCs w:val="24"/>
          <w:highlight w:val="none"/>
          <w:u w:val="single"/>
        </w:rPr>
        <w:t xml:space="preserve">                  </w:t>
      </w:r>
    </w:p>
    <w:p w14:paraId="686FEF32">
      <w:pPr>
        <w:wordWrap w:val="0"/>
        <w:spacing w:line="700" w:lineRule="exact"/>
        <w:rPr>
          <w:rFonts w:hint="eastAsia" w:ascii="宋体" w:hAnsi="宋体" w:cs="宋体"/>
          <w:sz w:val="24"/>
          <w:szCs w:val="24"/>
          <w:highlight w:val="none"/>
          <w:u w:val="single"/>
        </w:rPr>
      </w:pPr>
      <w:r>
        <w:rPr>
          <w:rFonts w:hint="eastAsia" w:ascii="宋体" w:hAnsi="宋体" w:cs="宋体"/>
          <w:sz w:val="24"/>
          <w:szCs w:val="24"/>
          <w:highlight w:val="none"/>
        </w:rPr>
        <w:t>账  号：</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账  号：</w:t>
      </w:r>
      <w:r>
        <w:rPr>
          <w:rFonts w:hint="eastAsia" w:ascii="宋体" w:hAnsi="宋体" w:cs="宋体"/>
          <w:sz w:val="24"/>
          <w:szCs w:val="24"/>
          <w:highlight w:val="none"/>
          <w:u w:val="single"/>
        </w:rPr>
        <w:t xml:space="preserve">                    </w:t>
      </w:r>
    </w:p>
    <w:p w14:paraId="29384BAC">
      <w:pPr>
        <w:wordWrap w:val="0"/>
        <w:spacing w:line="700" w:lineRule="exact"/>
        <w:rPr>
          <w:rFonts w:hint="eastAsia" w:ascii="宋体" w:hAnsi="宋体" w:cs="宋体"/>
          <w:sz w:val="24"/>
          <w:szCs w:val="24"/>
          <w:highlight w:val="none"/>
          <w:u w:val="single"/>
        </w:rPr>
      </w:pPr>
      <w:r>
        <w:rPr>
          <w:rFonts w:hint="eastAsia" w:ascii="宋体" w:hAnsi="宋体" w:cs="宋体"/>
          <w:sz w:val="24"/>
          <w:szCs w:val="24"/>
          <w:highlight w:val="none"/>
        </w:rPr>
        <w:t>邮政编码：</w:t>
      </w:r>
      <w:r>
        <w:rPr>
          <w:rFonts w:hint="eastAsia" w:ascii="宋体" w:hAnsi="宋体" w:cs="宋体"/>
          <w:sz w:val="24"/>
          <w:szCs w:val="24"/>
          <w:highlight w:val="none"/>
          <w:u w:val="single"/>
        </w:rPr>
        <w:t xml:space="preserve">      046102       </w:t>
      </w:r>
      <w:r>
        <w:rPr>
          <w:rFonts w:hint="eastAsia" w:ascii="宋体" w:hAnsi="宋体" w:cs="宋体"/>
          <w:sz w:val="24"/>
          <w:szCs w:val="24"/>
          <w:highlight w:val="none"/>
        </w:rPr>
        <w:t xml:space="preserve">       邮政编码：</w:t>
      </w:r>
      <w:r>
        <w:rPr>
          <w:rFonts w:hint="eastAsia" w:ascii="宋体" w:hAnsi="宋体" w:cs="宋体"/>
          <w:sz w:val="24"/>
          <w:szCs w:val="24"/>
          <w:highlight w:val="none"/>
          <w:u w:val="single"/>
        </w:rPr>
        <w:t xml:space="preserve">                  </w:t>
      </w:r>
    </w:p>
    <w:p w14:paraId="6FBBDEA5">
      <w:pPr>
        <w:wordWrap w:val="0"/>
        <w:spacing w:line="360" w:lineRule="auto"/>
        <w:rPr>
          <w:rFonts w:hint="eastAsia" w:ascii="宋体" w:hAnsi="宋体" w:cs="宋体"/>
          <w:sz w:val="24"/>
          <w:szCs w:val="24"/>
          <w:highlight w:val="none"/>
        </w:rPr>
      </w:pPr>
    </w:p>
    <w:p w14:paraId="155965FE">
      <w:pPr>
        <w:spacing w:line="500" w:lineRule="exact"/>
        <w:jc w:val="left"/>
        <w:rPr>
          <w:rFonts w:hint="eastAsia" w:ascii="宋体" w:hAnsi="宋体" w:cs="宋体"/>
          <w:b/>
          <w:bCs/>
          <w:sz w:val="24"/>
          <w:szCs w:val="24"/>
          <w:highlight w:val="none"/>
        </w:rPr>
      </w:pPr>
      <w:r>
        <w:rPr>
          <w:rFonts w:hint="eastAsia" w:ascii="宋体" w:hAnsi="宋体" w:cs="宋体"/>
          <w:sz w:val="24"/>
          <w:szCs w:val="24"/>
          <w:highlight w:val="none"/>
        </w:rPr>
        <w:br w:type="page"/>
      </w:r>
      <w:r>
        <w:rPr>
          <w:rFonts w:hint="eastAsia" w:ascii="宋体" w:hAnsi="宋体" w:cs="宋体"/>
          <w:sz w:val="24"/>
          <w:szCs w:val="24"/>
          <w:highlight w:val="none"/>
        </w:rPr>
        <w:t>附件二：</w:t>
      </w:r>
    </w:p>
    <w:p w14:paraId="21AA731A">
      <w:pPr>
        <w:spacing w:line="500" w:lineRule="exact"/>
        <w:ind w:firstLine="482"/>
        <w:jc w:val="center"/>
        <w:rPr>
          <w:rFonts w:hint="eastAsia" w:ascii="宋体" w:hAnsi="宋体" w:cs="宋体"/>
          <w:b/>
          <w:bCs/>
          <w:sz w:val="24"/>
          <w:szCs w:val="24"/>
          <w:highlight w:val="none"/>
        </w:rPr>
      </w:pPr>
      <w:r>
        <w:rPr>
          <w:rFonts w:hint="eastAsia" w:ascii="宋体" w:hAnsi="宋体" w:cs="宋体"/>
          <w:b/>
          <w:bCs/>
          <w:sz w:val="24"/>
          <w:szCs w:val="24"/>
          <w:highlight w:val="none"/>
        </w:rPr>
        <w:t>施工安全生产协议</w:t>
      </w:r>
    </w:p>
    <w:p w14:paraId="230E7E45">
      <w:pPr>
        <w:pStyle w:val="14"/>
        <w:spacing w:line="500" w:lineRule="exact"/>
        <w:ind w:firstLine="210"/>
        <w:rPr>
          <w:highlight w:val="none"/>
        </w:rPr>
      </w:pPr>
    </w:p>
    <w:p w14:paraId="7E0EDE07">
      <w:pPr>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rPr>
        <w:t>承包人（全称）：</w:t>
      </w:r>
      <w:r>
        <w:rPr>
          <w:rFonts w:hint="eastAsia" w:ascii="宋体" w:hAnsi="宋体" w:cs="宋体"/>
          <w:sz w:val="24"/>
          <w:szCs w:val="24"/>
          <w:highlight w:val="none"/>
          <w:u w:val="single"/>
        </w:rPr>
        <w:t xml:space="preserve">                        </w:t>
      </w:r>
    </w:p>
    <w:p w14:paraId="1B689EE4">
      <w:pPr>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rPr>
        <w:t>分包人（全称）：</w:t>
      </w:r>
      <w:r>
        <w:rPr>
          <w:rFonts w:hint="eastAsia" w:ascii="宋体" w:hAnsi="宋体" w:cs="宋体"/>
          <w:sz w:val="24"/>
          <w:szCs w:val="24"/>
          <w:highlight w:val="none"/>
          <w:u w:val="single"/>
        </w:rPr>
        <w:t xml:space="preserve">                        </w:t>
      </w:r>
    </w:p>
    <w:p w14:paraId="17A45D7C">
      <w:pPr>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为了强化施工项目安全管理，维护双方的共同利益，维护从业人员的生命安全和合法权益，保证工程施工质量和生产安全，承包人、分包人根据《中华人民共和国安全生产法》和《建设工程安全生产管理条例》、《煤矿安全规程》，经协商一致，签订施工安全生产协议。</w:t>
      </w:r>
    </w:p>
    <w:p w14:paraId="17A30A8F">
      <w:pPr>
        <w:spacing w:line="500" w:lineRule="exact"/>
        <w:ind w:firstLine="482" w:firstLineChars="200"/>
        <w:jc w:val="left"/>
        <w:rPr>
          <w:rFonts w:hint="eastAsia" w:ascii="宋体" w:hAnsi="宋体" w:cs="宋体"/>
          <w:sz w:val="24"/>
          <w:szCs w:val="24"/>
          <w:highlight w:val="none"/>
        </w:rPr>
      </w:pPr>
      <w:r>
        <w:rPr>
          <w:rFonts w:hint="eastAsia" w:ascii="宋体" w:hAnsi="宋体" w:cs="宋体"/>
          <w:b/>
          <w:bCs/>
          <w:sz w:val="24"/>
          <w:szCs w:val="24"/>
          <w:highlight w:val="none"/>
        </w:rPr>
        <w:t>一、施工安全责任范围</w:t>
      </w:r>
    </w:p>
    <w:p w14:paraId="64D8BF60">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分包人在施工期内，按照有关法律、法规、规章的管理规定和双方约定，承担施工区域内的安全责任。</w:t>
      </w:r>
    </w:p>
    <w:p w14:paraId="6A32C540">
      <w:pPr>
        <w:spacing w:line="500" w:lineRule="exact"/>
        <w:ind w:firstLine="482" w:firstLineChars="200"/>
        <w:jc w:val="left"/>
        <w:rPr>
          <w:rFonts w:hint="eastAsia" w:ascii="宋体" w:hAnsi="宋体" w:cs="宋体"/>
          <w:b/>
          <w:bCs/>
          <w:sz w:val="24"/>
          <w:szCs w:val="24"/>
          <w:highlight w:val="none"/>
        </w:rPr>
      </w:pPr>
      <w:r>
        <w:rPr>
          <w:rFonts w:hint="eastAsia" w:ascii="宋体" w:hAnsi="宋体" w:cs="宋体"/>
          <w:b/>
          <w:bCs/>
          <w:sz w:val="24"/>
          <w:szCs w:val="24"/>
          <w:highlight w:val="none"/>
        </w:rPr>
        <w:t>二、安全责任内容</w:t>
      </w:r>
    </w:p>
    <w:p w14:paraId="38C6205C">
      <w:pPr>
        <w:spacing w:line="500" w:lineRule="exact"/>
        <w:ind w:firstLine="482" w:firstLineChars="200"/>
        <w:jc w:val="left"/>
        <w:rPr>
          <w:rFonts w:hint="eastAsia" w:ascii="宋体" w:hAnsi="宋体" w:cs="宋体"/>
          <w:b/>
          <w:bCs/>
          <w:sz w:val="24"/>
          <w:szCs w:val="24"/>
          <w:highlight w:val="none"/>
        </w:rPr>
      </w:pPr>
      <w:r>
        <w:rPr>
          <w:rFonts w:hint="eastAsia" w:ascii="宋体" w:hAnsi="宋体" w:cs="宋体"/>
          <w:b/>
          <w:bCs/>
          <w:sz w:val="24"/>
          <w:szCs w:val="24"/>
          <w:highlight w:val="none"/>
        </w:rPr>
        <w:t>（一）承包人、分包人双方责任</w:t>
      </w:r>
    </w:p>
    <w:p w14:paraId="23D449C8">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1.双方必须认真贯彻国家和上级劳动保护、安全生产主管部门颁发的有关安全生产、消防工作的方针、政策、严格执行有关劳动保护法规、条例、规定。</w:t>
      </w:r>
    </w:p>
    <w:p w14:paraId="221F47C3">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2.双方应当设立安全生产管理机构，配备专职安全生产管理人员，履行《建设工程安全生产管理条例》规定的职责，对所承担的建设工程进行定期和专项安全检查，并做好安全检查记录。</w:t>
      </w:r>
    </w:p>
    <w:p w14:paraId="2510CFF8">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3.双方必须认真对本单位职工进行相关安全生产制度及安全技术知识教育，增强法制观念，提高职工的安全生产意识和自我保护能力，督促职工自觉遵守安全纪律、制度法规。</w:t>
      </w:r>
    </w:p>
    <w:p w14:paraId="1107258D">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4.双方应对从业人员进行安全教育和培训，保证从业人员具备安全生产知识，熟悉安全生产规章制度和安全操作规程，掌握本岗位的安全操作技能，未经安全生产教育培训合格的人员不得上岗作业。</w:t>
      </w:r>
    </w:p>
    <w:p w14:paraId="5A385E80">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5.双方在施工前要认真勘察现场：</w:t>
      </w:r>
    </w:p>
    <w:p w14:paraId="3F8E2AE5">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（1）工程项目应由承包人编制施工组织设计；</w:t>
      </w:r>
    </w:p>
    <w:p w14:paraId="4C10573A">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（2）分包的工程由分包人按承包人的要求自行编制施工组织设计，制订有针对性的安全技术措施，并经承包人审批，分包人必须严格按施工组织设计的要求施工。</w:t>
      </w:r>
    </w:p>
    <w:p w14:paraId="29EF2337">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（3）开工前承包人对分包人进行施工安全技术交底，技术交底交至操作人，并应有书面记录或资料。</w:t>
      </w:r>
    </w:p>
    <w:p w14:paraId="5626B1F9">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（4）对超过一定规模的分部分项工程，由承包人组织专家论证。</w:t>
      </w:r>
    </w:p>
    <w:p w14:paraId="258671C1">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6.遵循先订合同后施工的原则。承包人不得指派分包人人员从事合同外的施工任务。分包人应拒绝合同外的施工任务，否则由此造成的一切后果均由有关方负责。</w:t>
      </w:r>
    </w:p>
    <w:p w14:paraId="31C6B9DA">
      <w:pPr>
        <w:spacing w:line="500" w:lineRule="exact"/>
        <w:ind w:firstLine="482" w:firstLineChars="200"/>
        <w:jc w:val="left"/>
        <w:rPr>
          <w:rFonts w:hint="eastAsia" w:ascii="宋体" w:hAnsi="宋体" w:cs="宋体"/>
          <w:b/>
          <w:bCs/>
          <w:sz w:val="24"/>
          <w:szCs w:val="24"/>
          <w:highlight w:val="none"/>
        </w:rPr>
      </w:pPr>
      <w:r>
        <w:rPr>
          <w:rFonts w:hint="eastAsia" w:ascii="宋体" w:hAnsi="宋体" w:cs="宋体"/>
          <w:b/>
          <w:bCs/>
          <w:sz w:val="24"/>
          <w:szCs w:val="24"/>
          <w:highlight w:val="none"/>
        </w:rPr>
        <w:t>（二）承包人责任</w:t>
      </w:r>
    </w:p>
    <w:p w14:paraId="2FD4B7A3">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1.承包人应对分包人提交的营业执照、施工资质和安全施工资格证书进行审查及备案，了解在此前的施工业绩及施工安全情况。</w:t>
      </w:r>
    </w:p>
    <w:p w14:paraId="0E95C115">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2.施工期间承包人应对分包人施工现场进行安全监督，发现违章作业及危及人身、设备安全时，应及时制止、纠正，必要时有权停止其工作，并向分包人提出整改要求。</w:t>
      </w:r>
    </w:p>
    <w:p w14:paraId="221D0671">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3.承包人有协助分包人搞好安全生产、安全管理以及督促定期检查的义务，对承包人违反安全生产规定、制度等情况，分包人有要求承包人整改的权利。</w:t>
      </w:r>
    </w:p>
    <w:p w14:paraId="4E8CDF49">
      <w:pPr>
        <w:spacing w:line="500" w:lineRule="exact"/>
        <w:ind w:firstLine="482" w:firstLineChars="200"/>
        <w:jc w:val="left"/>
        <w:rPr>
          <w:rFonts w:hint="eastAsia" w:ascii="宋体" w:hAnsi="宋体" w:cs="宋体"/>
          <w:b/>
          <w:bCs/>
          <w:sz w:val="24"/>
          <w:szCs w:val="24"/>
          <w:highlight w:val="none"/>
        </w:rPr>
      </w:pPr>
      <w:r>
        <w:rPr>
          <w:rFonts w:hint="eastAsia" w:ascii="宋体" w:hAnsi="宋体" w:cs="宋体"/>
          <w:b/>
          <w:bCs/>
          <w:sz w:val="24"/>
          <w:szCs w:val="24"/>
          <w:highlight w:val="none"/>
        </w:rPr>
        <w:t>（三）分包人责任</w:t>
      </w:r>
    </w:p>
    <w:p w14:paraId="0D5EE33E">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1.分包人应当具备国家规定的注册资本、专业技术人员、技术装备和安全生产等条件，应向承包人提供真实、合法、有效的承包本工程所需相关资质证书；</w:t>
      </w:r>
    </w:p>
    <w:p w14:paraId="0C406E56">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2.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1ED57E2F">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3.分包人应遵守国家和地方关于劳动安全、劳务用工法律法规及规章制度，规范劳动用工制度，保证用工的合法性，维护职工权益，为从业人员提供符合国家标准或行业标准的劳动防护用品，为从业人员及时缴纳各种社会保险，及时发放工人工资。</w:t>
      </w:r>
    </w:p>
    <w:p w14:paraId="7F56999A">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4.依法建立健全安全生产管理机制，完善安全生产管理体系，认真落实安全生产主体责任，强化安全管理，加强员工安全教育工作，依法对从业人员进行安全生产教育和安全生产培训，做到按规定、按要求持证上岗。</w:t>
      </w:r>
    </w:p>
    <w:p w14:paraId="384FA28E">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5.分包方施工项目安全生产管理人员、技术人员持证上岗，特种作业人员上岗必须携带特种作业操作证，严禁违章操作、无证操作；严禁不懂电器、机械设备的人，擅自操作使用电器、机械设备。</w:t>
      </w:r>
    </w:p>
    <w:p w14:paraId="621BF3EE">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6.分包方使用施工机械应符合规定的验收程序；特种设备还需经有资质的检验单位检验合格后方可使用。施工机械、特种设备严禁在未经验收或验收不合格的情况下投入使用，否则由此发生的后果概由擅自分包方负责。</w:t>
      </w:r>
    </w:p>
    <w:p w14:paraId="6569E333">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7.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方负责。</w:t>
      </w:r>
    </w:p>
    <w:p w14:paraId="2A3E1164">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8.分包单位在施工期间必须接受承包人的检查和指导，承包人有权对分包人所处的施工区域、作业环境、操作设施设备、工具用具等进行检查。</w:t>
      </w:r>
    </w:p>
    <w:p w14:paraId="2A2DF874">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9.贯彻谁施工谁负责安全的原则，分包人人员在施工期间，由于分包方原因造成伤亡、机械等事故（包括由分包人责任造成承包人人员、第三人伤亡等），承包人有协助紧急抢救伤员的义务，分包人负责事故上报，经济赔偿及善后处理。</w:t>
      </w:r>
    </w:p>
    <w:p w14:paraId="40A14CC9">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10.分包人施工过程中应做到工完、料尽、场地清，确保安全文明施工。</w:t>
      </w:r>
    </w:p>
    <w:p w14:paraId="070BA246">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11.分包人在施工期间必须严格执行和遵守承包人的安全生产、防火管理等各类规定，接受承包人的督促、检查和指导；</w:t>
      </w:r>
    </w:p>
    <w:p w14:paraId="645D1671">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12.分包人应在在签订劳务分包合同前，拟签合同的分包单位要提前到山西潞安工程有限公司第二分公司安监办备案。劳务分包单位要保证备案内容的真实性，备案内容若有变化，要及时到第二分公司安监办进行备案变更。备案审核内容为公司资质、施工队组组织机构（队组成立及任命文件）、施工队组管理人员、特殊工种作业人员相关证件、施工人员工伤保险缴纳证明等。</w:t>
      </w:r>
    </w:p>
    <w:p w14:paraId="6232E409">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13.分包人在签订工程施工合同后，应自觉地向暂住地的公安派出机构办理暂住登记手续，并向当地区（县）城建办（建设局）安监站、劳动局劳动保护检察部门办理施工登记手续。</w:t>
      </w:r>
    </w:p>
    <w:p w14:paraId="55631831">
      <w:pPr>
        <w:spacing w:line="500" w:lineRule="exact"/>
        <w:ind w:firstLine="482" w:firstLineChars="200"/>
        <w:jc w:val="left"/>
        <w:rPr>
          <w:rFonts w:hint="eastAsia" w:ascii="宋体" w:hAnsi="宋体" w:cs="宋体"/>
          <w:b/>
          <w:bCs/>
          <w:sz w:val="24"/>
          <w:szCs w:val="24"/>
          <w:highlight w:val="none"/>
        </w:rPr>
      </w:pPr>
      <w:r>
        <w:rPr>
          <w:rFonts w:hint="eastAsia" w:ascii="宋体" w:hAnsi="宋体" w:cs="宋体"/>
          <w:b/>
          <w:bCs/>
          <w:sz w:val="24"/>
          <w:szCs w:val="24"/>
          <w:highlight w:val="none"/>
        </w:rPr>
        <w:t>三、安全保证责任</w:t>
      </w:r>
    </w:p>
    <w:p w14:paraId="55A3F15B">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 xml:space="preserve">1.分包人保证提供的企业资质和施工业绩真实有效，否则、由此产生的一切后果，由分包方自行承担；愿接受承包方对所分包工程的安全管理，积极配合承包方的安全检查，对于承包方查出的隐患和问题，积极进行整改，并对整改情况及时进行反馈。 </w:t>
      </w:r>
    </w:p>
    <w:p w14:paraId="0D6F1CEF">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2.承包人预留工程款的10%作为分包人的安全保证金。分包人在施工过程中未发生人身重伤及以上事故，于工程竣工验收后将保证金全额退还；若施工过程中发生下列有分包人责任的安全事故，扣除相应数额的安全保证金；</w:t>
      </w:r>
    </w:p>
    <w:p w14:paraId="7AB5AD60">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（1）发生人身死亡事故，扣除全部安全保证金；</w:t>
      </w:r>
    </w:p>
    <w:p w14:paraId="26C930B1">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（2）发生人身重伤事故，扣除50%安全保证金；</w:t>
      </w:r>
    </w:p>
    <w:p w14:paraId="0F5DB0AC">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3）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安全保证金内扣除。</w:t>
      </w:r>
    </w:p>
    <w:p w14:paraId="184F7D12">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本协议经双方代表签章后即生效：协议作为合同正本的附件一式五份，承包人执三份，分包人执二份。 </w:t>
      </w:r>
    </w:p>
    <w:p w14:paraId="3C7DD310">
      <w:pPr>
        <w:spacing w:line="360" w:lineRule="auto"/>
        <w:ind w:left="1" w:firstLine="480" w:firstLineChars="200"/>
        <w:jc w:val="left"/>
        <w:rPr>
          <w:rFonts w:hint="eastAsia" w:ascii="宋体" w:hAnsi="宋体" w:cs="宋体"/>
          <w:sz w:val="24"/>
          <w:szCs w:val="24"/>
          <w:highlight w:val="none"/>
        </w:rPr>
      </w:pPr>
    </w:p>
    <w:p w14:paraId="4216D724">
      <w:pPr>
        <w:spacing w:line="360" w:lineRule="auto"/>
        <w:ind w:left="1" w:firstLine="480" w:firstLineChars="200"/>
        <w:jc w:val="left"/>
        <w:rPr>
          <w:rFonts w:hint="eastAsia" w:ascii="宋体" w:hAnsi="宋体" w:cs="宋体"/>
          <w:sz w:val="24"/>
          <w:szCs w:val="24"/>
          <w:highlight w:val="none"/>
        </w:rPr>
      </w:pPr>
    </w:p>
    <w:p w14:paraId="0148611D">
      <w:pPr>
        <w:spacing w:line="360" w:lineRule="auto"/>
        <w:ind w:left="1" w:firstLine="480" w:firstLineChars="200"/>
        <w:jc w:val="left"/>
        <w:rPr>
          <w:rFonts w:hint="eastAsia" w:ascii="宋体" w:hAnsi="宋体" w:cs="宋体"/>
          <w:sz w:val="24"/>
          <w:szCs w:val="24"/>
          <w:highlight w:val="none"/>
        </w:rPr>
      </w:pPr>
    </w:p>
    <w:p w14:paraId="50C251A0">
      <w:pPr>
        <w:spacing w:line="360" w:lineRule="auto"/>
        <w:ind w:left="1" w:firstLine="480" w:firstLineChars="200"/>
        <w:jc w:val="left"/>
        <w:rPr>
          <w:rFonts w:hint="eastAsia" w:ascii="宋体" w:hAnsi="宋体" w:cs="宋体"/>
          <w:sz w:val="24"/>
          <w:szCs w:val="24"/>
          <w:highlight w:val="none"/>
        </w:rPr>
      </w:pPr>
    </w:p>
    <w:p w14:paraId="49C25AE4">
      <w:pPr>
        <w:spacing w:line="360" w:lineRule="auto"/>
        <w:ind w:left="1" w:firstLine="480" w:firstLineChars="200"/>
        <w:jc w:val="left"/>
        <w:rPr>
          <w:rFonts w:hint="eastAsia" w:ascii="宋体" w:hAnsi="宋体" w:cs="宋体"/>
          <w:sz w:val="24"/>
          <w:szCs w:val="24"/>
          <w:highlight w:val="none"/>
        </w:rPr>
      </w:pPr>
    </w:p>
    <w:p w14:paraId="4025B41F">
      <w:pPr>
        <w:spacing w:line="360" w:lineRule="auto"/>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承包人：              分包人：</w:t>
      </w:r>
    </w:p>
    <w:p w14:paraId="017BD432">
      <w:pPr>
        <w:spacing w:line="360" w:lineRule="auto"/>
        <w:ind w:left="1" w:firstLine="480" w:firstLineChars="200"/>
        <w:jc w:val="left"/>
        <w:rPr>
          <w:rFonts w:hint="eastAsia" w:ascii="宋体" w:hAnsi="宋体" w:cs="宋体"/>
          <w:sz w:val="24"/>
          <w:szCs w:val="24"/>
          <w:highlight w:val="none"/>
        </w:rPr>
      </w:pPr>
    </w:p>
    <w:p w14:paraId="068827DB">
      <w:pPr>
        <w:spacing w:line="360" w:lineRule="auto"/>
        <w:ind w:left="1" w:firstLine="480" w:firstLineChars="200"/>
        <w:jc w:val="left"/>
        <w:rPr>
          <w:rFonts w:hint="eastAsia" w:ascii="宋体" w:hAnsi="宋体" w:cs="宋体"/>
          <w:sz w:val="24"/>
          <w:szCs w:val="24"/>
          <w:highlight w:val="none"/>
        </w:rPr>
      </w:pPr>
    </w:p>
    <w:p w14:paraId="306DBE0C">
      <w:pPr>
        <w:spacing w:line="360" w:lineRule="auto"/>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法定代表人（或委托代理人）：　　　　　　法定代表人（或委托代理人）：</w:t>
      </w:r>
    </w:p>
    <w:p w14:paraId="7D20AE40">
      <w:pPr>
        <w:spacing w:line="360" w:lineRule="auto"/>
        <w:ind w:left="1" w:firstLine="480" w:firstLineChars="200"/>
        <w:jc w:val="left"/>
        <w:rPr>
          <w:rFonts w:hint="eastAsia" w:ascii="宋体" w:hAnsi="宋体" w:cs="宋体"/>
          <w:sz w:val="24"/>
          <w:szCs w:val="24"/>
          <w:highlight w:val="none"/>
        </w:rPr>
      </w:pPr>
    </w:p>
    <w:p w14:paraId="69C9D0A2">
      <w:pPr>
        <w:pStyle w:val="14"/>
        <w:ind w:firstLine="240"/>
        <w:rPr>
          <w:rFonts w:hint="eastAsia" w:ascii="宋体" w:hAnsi="宋体" w:cs="宋体"/>
          <w:sz w:val="24"/>
          <w:highlight w:val="none"/>
        </w:rPr>
      </w:pPr>
    </w:p>
    <w:p w14:paraId="7E55D75A">
      <w:pPr>
        <w:widowControl/>
        <w:ind w:firstLine="482"/>
        <w:jc w:val="left"/>
        <w:rPr>
          <w:rFonts w:hint="eastAsia" w:ascii="宋体" w:hAnsi="宋体" w:cs="宋体"/>
          <w:b/>
          <w:bCs/>
          <w:sz w:val="24"/>
          <w:szCs w:val="24"/>
          <w:highlight w:val="none"/>
        </w:rPr>
      </w:pPr>
      <w:r>
        <w:rPr>
          <w:rFonts w:hint="eastAsia" w:ascii="宋体" w:hAnsi="宋体" w:cs="宋体"/>
          <w:b/>
          <w:bCs/>
          <w:sz w:val="24"/>
          <w:szCs w:val="24"/>
          <w:highlight w:val="none"/>
        </w:rPr>
        <w:br w:type="page"/>
      </w:r>
    </w:p>
    <w:p w14:paraId="3E33853E">
      <w:pPr>
        <w:widowControl/>
        <w:ind w:firstLine="482"/>
        <w:jc w:val="left"/>
        <w:rPr>
          <w:rFonts w:hint="eastAsia" w:ascii="宋体" w:hAnsi="宋体" w:cs="宋体"/>
          <w:b/>
          <w:bCs/>
          <w:sz w:val="24"/>
          <w:szCs w:val="24"/>
          <w:highlight w:val="none"/>
        </w:rPr>
      </w:pPr>
      <w:r>
        <w:rPr>
          <w:rFonts w:hint="eastAsia" w:ascii="宋体" w:hAnsi="宋体" w:cs="宋体"/>
          <w:b/>
          <w:bCs/>
          <w:sz w:val="24"/>
          <w:szCs w:val="24"/>
          <w:highlight w:val="none"/>
        </w:rPr>
        <w:t>附件三：</w:t>
      </w:r>
    </w:p>
    <w:p w14:paraId="598B6494">
      <w:pPr>
        <w:spacing w:line="500" w:lineRule="exact"/>
        <w:ind w:firstLine="643"/>
        <w:jc w:val="center"/>
        <w:rPr>
          <w:rFonts w:hint="eastAsia" w:ascii="宋体" w:hAnsi="宋体" w:cs="宋体"/>
          <w:b/>
          <w:bCs/>
          <w:sz w:val="32"/>
          <w:szCs w:val="32"/>
          <w:highlight w:val="none"/>
        </w:rPr>
      </w:pPr>
      <w:r>
        <w:rPr>
          <w:rFonts w:hint="eastAsia" w:ascii="宋体" w:hAnsi="宋体" w:cs="宋体"/>
          <w:b/>
          <w:bCs/>
          <w:sz w:val="32"/>
          <w:szCs w:val="32"/>
          <w:highlight w:val="none"/>
        </w:rPr>
        <w:t>建筑施工环境保护协议</w:t>
      </w:r>
    </w:p>
    <w:p w14:paraId="539E5F6D">
      <w:pPr>
        <w:spacing w:line="500" w:lineRule="exact"/>
        <w:rPr>
          <w:rFonts w:hint="eastAsia" w:ascii="宋体" w:hAnsi="宋体" w:cs="宋体"/>
          <w:sz w:val="24"/>
          <w:szCs w:val="24"/>
          <w:highlight w:val="none"/>
        </w:rPr>
      </w:pPr>
      <w:r>
        <w:rPr>
          <w:rFonts w:hint="eastAsia" w:ascii="宋体" w:hAnsi="宋体" w:cs="宋体"/>
          <w:sz w:val="24"/>
          <w:szCs w:val="24"/>
          <w:highlight w:val="none"/>
        </w:rPr>
        <w:t xml:space="preserve">   </w:t>
      </w:r>
    </w:p>
    <w:p w14:paraId="7DBFB462">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承包人（全称）：</w:t>
      </w:r>
      <w:r>
        <w:rPr>
          <w:rFonts w:hint="eastAsia" w:ascii="宋体" w:hAnsi="宋体" w:cs="宋体"/>
          <w:sz w:val="24"/>
          <w:szCs w:val="24"/>
          <w:highlight w:val="none"/>
          <w:u w:val="single"/>
        </w:rPr>
        <w:t xml:space="preserve">   山西潞安工程有限公司                </w:t>
      </w:r>
    </w:p>
    <w:p w14:paraId="3E7800FF">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分包人（全称）：</w:t>
      </w:r>
      <w:r>
        <w:rPr>
          <w:rFonts w:hint="eastAsia" w:ascii="宋体" w:hAnsi="宋体" w:cs="宋体"/>
          <w:sz w:val="24"/>
          <w:szCs w:val="24"/>
          <w:highlight w:val="none"/>
          <w:u w:val="single"/>
        </w:rPr>
        <w:t xml:space="preserve">                                   </w:t>
      </w:r>
    </w:p>
    <w:p w14:paraId="1CCB17F9">
      <w:pPr>
        <w:spacing w:line="52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36635D0F">
      <w:pPr>
        <w:spacing w:line="520" w:lineRule="exact"/>
        <w:ind w:left="560" w:firstLine="482"/>
        <w:jc w:val="left"/>
        <w:rPr>
          <w:rFonts w:hint="eastAsia" w:ascii="宋体" w:hAnsi="宋体" w:cs="宋体"/>
          <w:b/>
          <w:bCs/>
          <w:sz w:val="24"/>
          <w:szCs w:val="24"/>
          <w:highlight w:val="none"/>
        </w:rPr>
      </w:pPr>
      <w:r>
        <w:rPr>
          <w:rFonts w:hint="eastAsia" w:ascii="宋体" w:hAnsi="宋体" w:cs="宋体"/>
          <w:b/>
          <w:bCs/>
          <w:sz w:val="24"/>
          <w:szCs w:val="24"/>
          <w:highlight w:val="none"/>
        </w:rPr>
        <w:t>一、施工环境保护责任范围</w:t>
      </w:r>
    </w:p>
    <w:p w14:paraId="1CF5EBBB">
      <w:pPr>
        <w:spacing w:line="52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分包人在施工期内，按照有关法律、法规、规章的管理规定和双方约定，承担本施工区域内的环境保护责任。</w:t>
      </w:r>
    </w:p>
    <w:p w14:paraId="21613243">
      <w:pPr>
        <w:spacing w:line="52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二、环境保护责任内容</w:t>
      </w:r>
    </w:p>
    <w:p w14:paraId="28D1F933">
      <w:pPr>
        <w:spacing w:line="52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（一）承包人的权利与义务</w:t>
      </w:r>
    </w:p>
    <w:p w14:paraId="1A51F099">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5487D39B">
      <w:pPr>
        <w:spacing w:line="52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（二）分包人的权利与义务</w:t>
      </w:r>
    </w:p>
    <w:p w14:paraId="79CDB9B9">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645AD4EF">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2、分包人应执行承包人的环境保护相关文件，施工过程中控制扬尘、降低噪声、减少废水、废气排放，达到国家规范标准、施工现场和当地标准要求。</w:t>
      </w:r>
    </w:p>
    <w:p w14:paraId="0BA7AFDE">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3、分包人应对员工进行环保教育和培训，提高员工环保意识。施工现场应由专人负责环保工作。</w:t>
      </w:r>
    </w:p>
    <w:p w14:paraId="3B127F5C">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4、施工现场周边必须进行围挡，现场大门和围挡要牢固、整齐、美观、规范，现场清洁、整齐，主要道路硬化，有排水措施。</w:t>
      </w:r>
    </w:p>
    <w:p w14:paraId="4FACD09A">
      <w:pPr>
        <w:spacing w:line="520" w:lineRule="exact"/>
        <w:ind w:firstLine="480"/>
        <w:rPr>
          <w:rFonts w:hint="eastAsia" w:ascii="宋体" w:hAnsi="宋体" w:cs="宋体"/>
          <w:sz w:val="24"/>
          <w:szCs w:val="24"/>
          <w:highlight w:val="none"/>
        </w:rPr>
      </w:pPr>
      <w:r>
        <w:rPr>
          <w:rFonts w:hint="eastAsia" w:ascii="宋体" w:hAnsi="宋体" w:cs="宋体"/>
          <w:sz w:val="24"/>
          <w:szCs w:val="24"/>
          <w:highlight w:val="none"/>
        </w:rPr>
        <w:t>5、建筑垃圾、生活垃圾分类存放，应及时清理。垃圾处理应符合当地环境保护要求，否则造成的一切后果均由分包人承担。</w:t>
      </w:r>
    </w:p>
    <w:p w14:paraId="33CB782A">
      <w:pPr>
        <w:spacing w:line="520" w:lineRule="exact"/>
        <w:ind w:firstLine="480"/>
        <w:rPr>
          <w:rFonts w:hint="eastAsia" w:ascii="宋体" w:hAnsi="宋体" w:cs="宋体"/>
          <w:sz w:val="24"/>
          <w:szCs w:val="24"/>
          <w:highlight w:val="none"/>
        </w:rPr>
      </w:pPr>
      <w:r>
        <w:rPr>
          <w:rFonts w:hint="eastAsia" w:ascii="宋体" w:hAnsi="宋体" w:cs="宋体"/>
          <w:sz w:val="24"/>
          <w:szCs w:val="24"/>
          <w:highlight w:val="none"/>
        </w:rPr>
        <w:t>6、遇有六级以上大风天气时停止施工，并做好遮盖工作，采取有效扬尘防治措施。</w:t>
      </w:r>
    </w:p>
    <w:p w14:paraId="1FCDC365">
      <w:pPr>
        <w:spacing w:line="520" w:lineRule="exact"/>
        <w:ind w:firstLine="480"/>
        <w:rPr>
          <w:rFonts w:hint="eastAsia" w:ascii="宋体" w:hAnsi="宋体" w:cs="宋体"/>
          <w:sz w:val="24"/>
          <w:szCs w:val="24"/>
          <w:highlight w:val="none"/>
        </w:rPr>
      </w:pPr>
      <w:r>
        <w:rPr>
          <w:rFonts w:hint="eastAsia" w:ascii="宋体" w:hAnsi="宋体" w:cs="宋体"/>
          <w:sz w:val="24"/>
          <w:szCs w:val="24"/>
          <w:highlight w:val="none"/>
        </w:rPr>
        <w:t>7、施工现场存放水泥、砂石、灰土等物料要采取有效防尘措施，堆放整齐，并配备相应的洒水设备，及时洒水降尘。</w:t>
      </w:r>
    </w:p>
    <w:p w14:paraId="33CDAEE4">
      <w:pPr>
        <w:spacing w:line="520" w:lineRule="exact"/>
        <w:ind w:firstLine="480"/>
        <w:rPr>
          <w:rFonts w:hint="eastAsia" w:ascii="宋体" w:hAnsi="宋体" w:cs="宋体"/>
          <w:sz w:val="24"/>
          <w:szCs w:val="24"/>
          <w:highlight w:val="none"/>
        </w:rPr>
      </w:pPr>
      <w:r>
        <w:rPr>
          <w:rFonts w:hint="eastAsia" w:ascii="宋体" w:hAnsi="宋体" w:cs="宋体"/>
          <w:sz w:val="24"/>
          <w:szCs w:val="24"/>
          <w:highlight w:val="none"/>
        </w:rPr>
        <w:t>8、分包人不得将有毒有害废弃物作土方回填，以免污染地下水和环境，现场随时打扫，保持整洁卫生。</w:t>
      </w:r>
    </w:p>
    <w:p w14:paraId="74BB3951">
      <w:pPr>
        <w:spacing w:line="520" w:lineRule="exact"/>
        <w:ind w:firstLine="482"/>
        <w:rPr>
          <w:rFonts w:hint="eastAsia" w:ascii="宋体" w:hAnsi="宋体" w:cs="宋体"/>
          <w:b/>
          <w:bCs/>
          <w:sz w:val="24"/>
          <w:szCs w:val="24"/>
          <w:highlight w:val="none"/>
        </w:rPr>
      </w:pPr>
      <w:r>
        <w:rPr>
          <w:rFonts w:hint="eastAsia" w:ascii="宋体" w:hAnsi="宋体" w:cs="宋体"/>
          <w:b/>
          <w:bCs/>
          <w:sz w:val="24"/>
          <w:szCs w:val="24"/>
          <w:highlight w:val="none"/>
        </w:rPr>
        <w:t>三、补充事项</w:t>
      </w:r>
    </w:p>
    <w:p w14:paraId="4D92C61F">
      <w:pPr>
        <w:spacing w:line="520" w:lineRule="exact"/>
        <w:ind w:firstLine="480"/>
        <w:rPr>
          <w:rFonts w:hint="eastAsia" w:ascii="宋体" w:hAnsi="宋体" w:cs="宋体"/>
          <w:sz w:val="24"/>
          <w:szCs w:val="24"/>
          <w:highlight w:val="none"/>
        </w:rPr>
      </w:pPr>
      <w:r>
        <w:rPr>
          <w:rFonts w:hint="eastAsia" w:ascii="宋体" w:hAnsi="宋体" w:cs="宋体"/>
          <w:sz w:val="24"/>
          <w:szCs w:val="24"/>
          <w:highlight w:val="none"/>
        </w:rPr>
        <w:t>1、承包人与分包人应签订环境保护责任书。</w:t>
      </w:r>
    </w:p>
    <w:p w14:paraId="12C76A1B">
      <w:pPr>
        <w:spacing w:line="520" w:lineRule="exact"/>
        <w:ind w:firstLine="480"/>
        <w:rPr>
          <w:rFonts w:hint="eastAsia" w:ascii="宋体" w:hAnsi="宋体" w:cs="宋体"/>
          <w:sz w:val="24"/>
          <w:szCs w:val="24"/>
          <w:highlight w:val="none"/>
        </w:rPr>
      </w:pPr>
      <w:r>
        <w:rPr>
          <w:rFonts w:hint="eastAsia" w:ascii="宋体" w:hAnsi="宋体" w:cs="宋体"/>
          <w:sz w:val="24"/>
          <w:szCs w:val="24"/>
          <w:highlight w:val="none"/>
        </w:rPr>
        <w:t>2、分包人应当在施工现场建立环境保护责任制度。分包人指派</w:t>
      </w:r>
      <w:r>
        <w:rPr>
          <w:rFonts w:hint="eastAsia" w:ascii="宋体" w:hAnsi="宋体" w:cs="宋体"/>
          <w:sz w:val="24"/>
          <w:szCs w:val="24"/>
          <w:highlight w:val="none"/>
          <w:u w:val="single"/>
        </w:rPr>
        <w:t xml:space="preserve">         </w:t>
      </w:r>
      <w:r>
        <w:rPr>
          <w:rFonts w:hint="eastAsia" w:ascii="宋体" w:hAnsi="宋体" w:cs="宋体"/>
          <w:sz w:val="24"/>
          <w:szCs w:val="24"/>
          <w:highlight w:val="none"/>
        </w:rPr>
        <w:t>为施工现场环境保护负责人，负责施工现场的环境保护工作。</w:t>
      </w:r>
    </w:p>
    <w:p w14:paraId="073E554B">
      <w:pPr>
        <w:spacing w:line="520" w:lineRule="exact"/>
        <w:ind w:firstLine="480"/>
        <w:rPr>
          <w:rFonts w:hint="eastAsia" w:ascii="宋体" w:hAnsi="宋体" w:cs="宋体"/>
          <w:sz w:val="24"/>
          <w:szCs w:val="24"/>
          <w:highlight w:val="none"/>
        </w:rPr>
      </w:pPr>
      <w:r>
        <w:rPr>
          <w:rFonts w:hint="eastAsia" w:ascii="宋体" w:hAnsi="宋体" w:cs="宋体"/>
          <w:sz w:val="24"/>
          <w:szCs w:val="24"/>
          <w:highlight w:val="none"/>
        </w:rPr>
        <w:t>3、如分包人出现违反本环境保护协议的情形，承包人有权依据承包人内部环境保护管理处罚规定对分包人予以相应的处罚。</w:t>
      </w:r>
    </w:p>
    <w:p w14:paraId="7D5ADCA8">
      <w:pPr>
        <w:spacing w:line="52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本协议经双方代表签章后即生效：协议作为合同正本的附件，份数与合同正本一致。</w:t>
      </w:r>
    </w:p>
    <w:p w14:paraId="21D02500">
      <w:pPr>
        <w:spacing w:line="520" w:lineRule="exact"/>
        <w:ind w:firstLine="480" w:firstLineChars="200"/>
        <w:jc w:val="left"/>
        <w:rPr>
          <w:rFonts w:hint="eastAsia" w:ascii="宋体" w:hAnsi="宋体" w:cs="宋体"/>
          <w:sz w:val="24"/>
          <w:szCs w:val="24"/>
          <w:highlight w:val="none"/>
        </w:rPr>
      </w:pPr>
    </w:p>
    <w:p w14:paraId="4928302A">
      <w:pPr>
        <w:spacing w:line="520" w:lineRule="exact"/>
        <w:ind w:firstLine="480" w:firstLineChars="200"/>
        <w:jc w:val="left"/>
        <w:rPr>
          <w:rFonts w:hint="eastAsia" w:ascii="宋体" w:hAnsi="宋体" w:cs="宋体"/>
          <w:sz w:val="24"/>
          <w:szCs w:val="24"/>
          <w:highlight w:val="none"/>
        </w:rPr>
      </w:pPr>
    </w:p>
    <w:p w14:paraId="25CC99D2">
      <w:pPr>
        <w:spacing w:after="120"/>
        <w:ind w:firstLine="240" w:firstLineChars="100"/>
        <w:rPr>
          <w:rFonts w:hint="eastAsia" w:ascii="宋体" w:hAnsi="宋体" w:cs="宋体"/>
          <w:sz w:val="24"/>
          <w:szCs w:val="24"/>
          <w:highlight w:val="none"/>
        </w:rPr>
      </w:pPr>
    </w:p>
    <w:p w14:paraId="3535C99B">
      <w:pPr>
        <w:spacing w:line="320" w:lineRule="exact"/>
        <w:ind w:firstLine="480" w:firstLineChars="200"/>
        <w:rPr>
          <w:rFonts w:hint="eastAsia" w:ascii="宋体" w:hAnsi="宋体" w:cs="宋体"/>
          <w:sz w:val="24"/>
          <w:szCs w:val="24"/>
          <w:highlight w:val="none"/>
        </w:rPr>
      </w:pPr>
    </w:p>
    <w:p w14:paraId="6B84219D">
      <w:pPr>
        <w:spacing w:line="320" w:lineRule="exact"/>
        <w:ind w:firstLine="480" w:firstLineChars="200"/>
        <w:rPr>
          <w:rFonts w:hint="eastAsia" w:ascii="宋体" w:hAnsi="宋体" w:cs="宋体"/>
          <w:sz w:val="24"/>
          <w:szCs w:val="24"/>
          <w:highlight w:val="none"/>
        </w:rPr>
      </w:pPr>
    </w:p>
    <w:p w14:paraId="470A69DD">
      <w:pPr>
        <w:spacing w:line="320" w:lineRule="exact"/>
        <w:ind w:firstLine="480" w:firstLineChars="200"/>
        <w:rPr>
          <w:rFonts w:hint="eastAsia" w:ascii="宋体" w:hAnsi="宋体" w:cs="宋体"/>
          <w:sz w:val="24"/>
          <w:szCs w:val="24"/>
          <w:highlight w:val="none"/>
        </w:rPr>
      </w:pPr>
    </w:p>
    <w:p w14:paraId="758C176D">
      <w:pPr>
        <w:spacing w:line="520" w:lineRule="exact"/>
        <w:ind w:firstLine="960" w:firstLineChars="400"/>
        <w:jc w:val="left"/>
        <w:rPr>
          <w:rFonts w:hint="eastAsia" w:ascii="宋体" w:hAnsi="宋体" w:cs="宋体"/>
          <w:sz w:val="24"/>
          <w:szCs w:val="24"/>
          <w:highlight w:val="none"/>
        </w:rPr>
      </w:pPr>
      <w:r>
        <w:rPr>
          <w:rFonts w:hint="eastAsia" w:ascii="宋体" w:hAnsi="宋体" w:cs="宋体"/>
          <w:sz w:val="24"/>
          <w:szCs w:val="24"/>
          <w:highlight w:val="none"/>
        </w:rPr>
        <w:t>承包人：山西潞安工程有限公司      分包人：</w:t>
      </w:r>
    </w:p>
    <w:p w14:paraId="1A6BB021">
      <w:pPr>
        <w:spacing w:line="52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　　　　　　　　　　　</w:t>
      </w:r>
    </w:p>
    <w:p w14:paraId="30509B76">
      <w:pPr>
        <w:ind w:firstLine="480"/>
        <w:jc w:val="center"/>
        <w:rPr>
          <w:rFonts w:hint="eastAsia" w:ascii="宋体" w:hAnsi="宋体" w:cs="宋体"/>
          <w:sz w:val="24"/>
          <w:szCs w:val="24"/>
          <w:highlight w:val="none"/>
        </w:rPr>
      </w:pPr>
      <w:r>
        <w:rPr>
          <w:rFonts w:hint="eastAsia" w:ascii="宋体" w:hAnsi="宋体" w:cs="宋体"/>
          <w:sz w:val="24"/>
          <w:szCs w:val="24"/>
          <w:highlight w:val="none"/>
        </w:rPr>
        <w:t>法定代表人（或委托代理人）：　　　　  法定代表人（或委托代理人）：</w:t>
      </w:r>
    </w:p>
    <w:p w14:paraId="1F68BD8F">
      <w:pPr>
        <w:ind w:firstLine="480"/>
        <w:jc w:val="center"/>
        <w:rPr>
          <w:rFonts w:hint="eastAsia" w:ascii="宋体" w:hAnsi="宋体" w:cs="宋体"/>
          <w:sz w:val="24"/>
          <w:szCs w:val="24"/>
          <w:highlight w:val="none"/>
        </w:rPr>
      </w:pPr>
    </w:p>
    <w:p w14:paraId="103CD990">
      <w:pPr>
        <w:ind w:firstLine="480"/>
        <w:jc w:val="center"/>
        <w:rPr>
          <w:rFonts w:hint="eastAsia" w:ascii="宋体" w:hAnsi="宋体" w:cs="宋体"/>
          <w:sz w:val="24"/>
          <w:szCs w:val="24"/>
          <w:highlight w:val="none"/>
        </w:rPr>
      </w:pPr>
    </w:p>
    <w:p w14:paraId="09732F26">
      <w:pPr>
        <w:ind w:firstLine="480"/>
        <w:jc w:val="center"/>
        <w:rPr>
          <w:rFonts w:hint="eastAsia" w:ascii="宋体" w:hAnsi="宋体" w:cs="宋体"/>
          <w:sz w:val="24"/>
          <w:szCs w:val="24"/>
          <w:highlight w:val="none"/>
        </w:rPr>
      </w:pPr>
    </w:p>
    <w:p w14:paraId="22E4835F">
      <w:pPr>
        <w:ind w:firstLine="480"/>
        <w:jc w:val="center"/>
        <w:rPr>
          <w:rFonts w:hint="eastAsia" w:ascii="宋体" w:hAnsi="宋体" w:cs="宋体"/>
          <w:sz w:val="24"/>
          <w:szCs w:val="24"/>
          <w:highlight w:val="none"/>
        </w:rPr>
      </w:pPr>
    </w:p>
    <w:p w14:paraId="3390A0B0">
      <w:pPr>
        <w:ind w:firstLine="480"/>
        <w:jc w:val="center"/>
        <w:rPr>
          <w:rFonts w:hint="eastAsia" w:ascii="宋体" w:hAnsi="宋体" w:cs="宋体"/>
          <w:sz w:val="24"/>
          <w:szCs w:val="24"/>
          <w:highlight w:val="none"/>
        </w:rPr>
      </w:pPr>
    </w:p>
    <w:p w14:paraId="4E715D39">
      <w:pPr>
        <w:ind w:firstLine="480"/>
        <w:jc w:val="center"/>
        <w:rPr>
          <w:rFonts w:hint="eastAsia" w:ascii="宋体" w:hAnsi="宋体" w:cs="宋体"/>
          <w:sz w:val="24"/>
          <w:szCs w:val="24"/>
          <w:highlight w:val="none"/>
        </w:rPr>
      </w:pPr>
    </w:p>
    <w:p w14:paraId="6E123303">
      <w:pPr>
        <w:ind w:firstLine="480"/>
        <w:jc w:val="center"/>
        <w:rPr>
          <w:rFonts w:hint="eastAsia" w:ascii="宋体" w:hAnsi="宋体" w:cs="宋体"/>
          <w:sz w:val="24"/>
          <w:szCs w:val="24"/>
          <w:highlight w:val="none"/>
        </w:rPr>
      </w:pPr>
    </w:p>
    <w:p w14:paraId="4B3BFC17">
      <w:pPr>
        <w:ind w:firstLine="480"/>
        <w:jc w:val="center"/>
        <w:rPr>
          <w:rFonts w:hint="eastAsia" w:ascii="宋体" w:hAnsi="宋体" w:cs="宋体"/>
          <w:sz w:val="24"/>
          <w:szCs w:val="24"/>
          <w:highlight w:val="none"/>
        </w:rPr>
      </w:pPr>
    </w:p>
    <w:p w14:paraId="5742DDE3">
      <w:pPr>
        <w:ind w:firstLine="480"/>
        <w:jc w:val="center"/>
        <w:rPr>
          <w:rFonts w:hint="eastAsia" w:ascii="宋体" w:hAnsi="宋体" w:cs="宋体"/>
          <w:sz w:val="24"/>
          <w:szCs w:val="24"/>
          <w:highlight w:val="none"/>
        </w:rPr>
      </w:pPr>
    </w:p>
    <w:p w14:paraId="3B473E02">
      <w:pPr>
        <w:ind w:firstLine="480"/>
        <w:jc w:val="center"/>
        <w:rPr>
          <w:rFonts w:hint="eastAsia" w:ascii="宋体" w:hAnsi="宋体" w:cs="宋体"/>
          <w:sz w:val="24"/>
          <w:szCs w:val="24"/>
          <w:highlight w:val="none"/>
        </w:rPr>
      </w:pPr>
    </w:p>
    <w:p w14:paraId="3722A5D3">
      <w:pPr>
        <w:ind w:firstLine="480"/>
        <w:jc w:val="center"/>
        <w:rPr>
          <w:rFonts w:hint="eastAsia" w:ascii="宋体" w:hAnsi="宋体" w:cs="宋体"/>
          <w:sz w:val="24"/>
          <w:szCs w:val="24"/>
          <w:highlight w:val="none"/>
        </w:rPr>
      </w:pPr>
    </w:p>
    <w:p w14:paraId="474053FD">
      <w:pPr>
        <w:widowControl/>
        <w:ind w:firstLine="482"/>
        <w:jc w:val="left"/>
        <w:rPr>
          <w:rFonts w:hint="eastAsia" w:ascii="宋体" w:hAnsi="宋体" w:cs="宋体"/>
          <w:b/>
          <w:bCs/>
          <w:sz w:val="24"/>
          <w:szCs w:val="24"/>
          <w:highlight w:val="none"/>
        </w:rPr>
      </w:pPr>
      <w:r>
        <w:rPr>
          <w:rFonts w:hint="eastAsia" w:ascii="宋体" w:hAnsi="宋体" w:cs="宋体"/>
          <w:b/>
          <w:bCs/>
          <w:sz w:val="24"/>
          <w:szCs w:val="24"/>
          <w:highlight w:val="none"/>
        </w:rPr>
        <w:t>附件四：</w:t>
      </w:r>
    </w:p>
    <w:p w14:paraId="09E2DD91">
      <w:pPr>
        <w:spacing w:line="500" w:lineRule="exact"/>
        <w:ind w:firstLine="643"/>
        <w:jc w:val="center"/>
        <w:rPr>
          <w:rFonts w:hint="eastAsia" w:ascii="宋体" w:hAnsi="宋体" w:cs="宋体"/>
          <w:b/>
          <w:bCs/>
          <w:sz w:val="32"/>
          <w:szCs w:val="32"/>
          <w:highlight w:val="none"/>
        </w:rPr>
      </w:pPr>
      <w:r>
        <w:rPr>
          <w:rFonts w:hint="eastAsia" w:ascii="宋体" w:hAnsi="宋体" w:cs="宋体"/>
          <w:b/>
          <w:bCs/>
          <w:sz w:val="32"/>
          <w:szCs w:val="32"/>
          <w:highlight w:val="none"/>
        </w:rPr>
        <w:t>农民工工资支付承诺书</w:t>
      </w:r>
    </w:p>
    <w:p w14:paraId="5F5AB02E">
      <w:pPr>
        <w:ind w:firstLine="480"/>
        <w:jc w:val="center"/>
        <w:rPr>
          <w:rFonts w:hint="eastAsia" w:ascii="宋体" w:hAnsi="宋体" w:cs="宋体"/>
          <w:sz w:val="24"/>
          <w:szCs w:val="24"/>
          <w:highlight w:val="none"/>
        </w:rPr>
      </w:pPr>
    </w:p>
    <w:p w14:paraId="3525D0DE">
      <w:pPr>
        <w:spacing w:line="460" w:lineRule="exact"/>
        <w:rPr>
          <w:rFonts w:hint="eastAsia" w:ascii="宋体" w:hAnsi="宋体" w:cs="宋体"/>
          <w:sz w:val="24"/>
          <w:szCs w:val="24"/>
          <w:highlight w:val="none"/>
        </w:rPr>
      </w:pPr>
      <w:r>
        <w:rPr>
          <w:rFonts w:hint="eastAsia" w:ascii="宋体" w:hAnsi="宋体" w:cs="宋体"/>
          <w:sz w:val="24"/>
          <w:szCs w:val="24"/>
          <w:highlight w:val="none"/>
        </w:rPr>
        <w:t>山西潞安工程有限公司：</w:t>
      </w:r>
    </w:p>
    <w:p w14:paraId="06CAADAB">
      <w:pPr>
        <w:spacing w:line="46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作为</w:t>
      </w:r>
      <w:r>
        <w:rPr>
          <w:rFonts w:hint="eastAsia" w:ascii="宋体" w:hAnsi="宋体" w:cs="宋体"/>
          <w:sz w:val="24"/>
          <w:szCs w:val="24"/>
          <w:highlight w:val="none"/>
          <w:u w:val="single"/>
        </w:rPr>
        <w:t xml:space="preserve">  </w:t>
      </w:r>
      <w:r>
        <w:rPr>
          <w:rFonts w:ascii="宋体" w:hAnsi="宋体" w:cs="宋体"/>
          <w:sz w:val="24"/>
          <w:szCs w:val="24"/>
          <w:highlight w:val="none"/>
          <w:u w:val="single"/>
        </w:rPr>
        <w:t>司马煤业采煤沉陷区（1206、1207、1208、1209、1213工作面）综合治理</w:t>
      </w:r>
      <w:r>
        <w:rPr>
          <w:rFonts w:hint="eastAsia" w:ascii="宋体" w:hAnsi="宋体" w:cs="宋体"/>
          <w:sz w:val="24"/>
          <w:szCs w:val="24"/>
          <w:highlight w:val="none"/>
          <w:u w:val="single"/>
        </w:rPr>
        <w:t xml:space="preserve">  </w:t>
      </w:r>
      <w:r>
        <w:rPr>
          <w:rFonts w:hint="eastAsia" w:ascii="宋体" w:hAnsi="宋体" w:cs="宋体"/>
          <w:sz w:val="24"/>
          <w:szCs w:val="24"/>
          <w:highlight w:val="none"/>
        </w:rPr>
        <w:t>项目</w:t>
      </w:r>
      <w:r>
        <w:rPr>
          <w:rFonts w:hint="eastAsia" w:ascii="宋体" w:hAnsi="宋体" w:cs="宋体"/>
          <w:sz w:val="24"/>
          <w:szCs w:val="24"/>
          <w:highlight w:val="none"/>
        </w:rPr>
        <w:t>的分包单位，我单位将严格履行与贵方签订的《</w:t>
      </w:r>
      <w:r>
        <w:rPr>
          <w:rFonts w:hint="eastAsia" w:ascii="宋体" w:hAnsi="宋体" w:cs="宋体"/>
          <w:sz w:val="24"/>
          <w:szCs w:val="24"/>
          <w:highlight w:val="none"/>
          <w:u w:val="single"/>
        </w:rPr>
        <w:t xml:space="preserve"> 建设工程施工专业分包合同，合同编号</w:t>
      </w:r>
      <w:r>
        <w:rPr>
          <w:rFonts w:hint="eastAsia" w:ascii="仿宋" w:hAnsi="仿宋" w:eastAsia="仿宋"/>
          <w:sz w:val="28"/>
          <w:szCs w:val="28"/>
          <w:highlight w:val="none"/>
          <w:u w:val="single"/>
        </w:rPr>
        <w:t xml:space="preserve">EF-F（Z）-2026-   </w:t>
      </w:r>
      <w:r>
        <w:rPr>
          <w:rFonts w:hint="eastAsia" w:ascii="宋体" w:hAnsi="宋体" w:cs="宋体"/>
          <w:sz w:val="24"/>
          <w:szCs w:val="24"/>
          <w:highlight w:val="none"/>
        </w:rPr>
        <w:t>》，保障农民工合法权益，现就农民工工资支付事宜，郑重作出如下承诺：</w:t>
      </w:r>
    </w:p>
    <w:p w14:paraId="28752482">
      <w:pPr>
        <w:spacing w:line="46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 严格遵守《保障农民工工资支付条例》等相关法律法规及政策要求，建立健全农民工工资支付管理制度，确保按时足额支付农民工工资，绝不出现拖欠、克扣工资的行为。</w:t>
      </w:r>
    </w:p>
    <w:p w14:paraId="31064939">
      <w:pPr>
        <w:spacing w:line="460" w:lineRule="exact"/>
        <w:ind w:firstLine="480" w:firstLineChars="200"/>
        <w:rPr>
          <w:rFonts w:hint="eastAsia" w:ascii="宋体" w:hAnsi="宋体" w:cs="宋体"/>
          <w:color w:val="FF0000"/>
          <w:sz w:val="24"/>
          <w:szCs w:val="24"/>
          <w:highlight w:val="none"/>
        </w:rPr>
      </w:pPr>
      <w:r>
        <w:rPr>
          <w:rFonts w:hint="eastAsia" w:ascii="宋体" w:hAnsi="宋体" w:cs="宋体"/>
          <w:color w:val="FF0000"/>
          <w:sz w:val="24"/>
          <w:szCs w:val="24"/>
          <w:highlight w:val="none"/>
        </w:rPr>
        <w:t>2. 按照分包合同约定及贵方要求，及时足额缴纳农民工工资保证金，保障农民工工资支付资金来源。</w:t>
      </w:r>
    </w:p>
    <w:p w14:paraId="5933D9CF">
      <w:pPr>
        <w:spacing w:line="460" w:lineRule="exact"/>
        <w:ind w:firstLine="480" w:firstLineChars="200"/>
        <w:rPr>
          <w:rFonts w:hint="eastAsia" w:ascii="宋体" w:hAnsi="宋体" w:cs="宋体"/>
          <w:color w:val="FF0000"/>
          <w:sz w:val="24"/>
          <w:szCs w:val="24"/>
          <w:highlight w:val="none"/>
        </w:rPr>
      </w:pPr>
      <w:r>
        <w:rPr>
          <w:rFonts w:hint="eastAsia" w:ascii="宋体" w:hAnsi="宋体" w:cs="宋体"/>
          <w:color w:val="FF0000"/>
          <w:sz w:val="24"/>
          <w:szCs w:val="24"/>
          <w:highlight w:val="none"/>
        </w:rPr>
        <w:t>3. 规范用工管理，依法与所招用农民工签订劳动合同，并将农民工花名册及时报送贵方。</w:t>
      </w:r>
    </w:p>
    <w:p w14:paraId="3537CCB1">
      <w:pPr>
        <w:spacing w:line="460" w:lineRule="exact"/>
        <w:ind w:firstLine="480" w:firstLineChars="200"/>
        <w:rPr>
          <w:rFonts w:hint="eastAsia" w:ascii="宋体" w:hAnsi="宋体" w:cs="宋体"/>
          <w:sz w:val="24"/>
          <w:szCs w:val="24"/>
          <w:highlight w:val="none"/>
        </w:rPr>
      </w:pPr>
      <w:r>
        <w:rPr>
          <w:rFonts w:hint="eastAsia" w:ascii="宋体" w:hAnsi="宋体" w:cs="宋体"/>
          <w:color w:val="FF0000"/>
          <w:sz w:val="24"/>
          <w:szCs w:val="24"/>
          <w:highlight w:val="none"/>
        </w:rPr>
        <w:t>4. 确定农民工工资发放专用账户，专项用于支付农民工工资，确保工资资金专款专用，不挪作他用。收到工程款后，第一时间按照规定将农民工工资足额、直接发放到农民工手中，</w:t>
      </w:r>
      <w:r>
        <w:rPr>
          <w:rFonts w:hint="eastAsia" w:ascii="宋体" w:hAnsi="宋体" w:cs="宋体"/>
          <w:sz w:val="24"/>
          <w:szCs w:val="24"/>
          <w:highlight w:val="none"/>
        </w:rPr>
        <w:t>按时向贵方提交农民工工资支付清单及支付凭证，接受贵方监督核查。</w:t>
      </w:r>
    </w:p>
    <w:p w14:paraId="38B46AC2">
      <w:pPr>
        <w:spacing w:line="46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5. 若因本单位原因出现拖欠农民工工资，造成农民工上访及恶意讨薪事件的，本单位愿意承担一切法律责任及经济赔偿责任，包括但不限于足额补发拖欠工资、支付赔偿金，并承担由此给贵方造成的全部损失（包括但不限于名誉损失、诉讼费、律师费等）。</w:t>
      </w:r>
    </w:p>
    <w:p w14:paraId="7C7060C0">
      <w:pPr>
        <w:spacing w:line="46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6. 本承诺书独立于分包合同，效力不受合同变更、解除或无效等影响，自签署之日起生效，直至本项目所有农民工工资结清之日终止，对本人/本单位具有不可撤销的法律约束力。</w:t>
      </w:r>
    </w:p>
    <w:p w14:paraId="7E3CA281">
      <w:pPr>
        <w:spacing w:line="480" w:lineRule="auto"/>
        <w:ind w:firstLine="3840" w:firstLineChars="1600"/>
        <w:rPr>
          <w:rFonts w:hint="eastAsia" w:ascii="宋体" w:hAnsi="宋体" w:cs="宋体"/>
          <w:sz w:val="24"/>
          <w:szCs w:val="24"/>
          <w:highlight w:val="none"/>
          <w:u w:val="single"/>
        </w:rPr>
      </w:pPr>
      <w:r>
        <w:rPr>
          <w:rFonts w:hint="eastAsia" w:ascii="宋体" w:hAnsi="宋体" w:cs="宋体"/>
          <w:sz w:val="24"/>
          <w:szCs w:val="24"/>
          <w:highlight w:val="none"/>
        </w:rPr>
        <w:t>公  司（签章）：</w:t>
      </w:r>
      <w:r>
        <w:rPr>
          <w:rFonts w:hint="eastAsia" w:ascii="宋体" w:hAnsi="宋体" w:cs="宋体"/>
          <w:sz w:val="24"/>
          <w:szCs w:val="24"/>
          <w:highlight w:val="none"/>
          <w:u w:val="single"/>
        </w:rPr>
        <w:t xml:space="preserve">                   </w:t>
      </w:r>
    </w:p>
    <w:p w14:paraId="77331955">
      <w:pPr>
        <w:spacing w:line="480" w:lineRule="auto"/>
        <w:ind w:firstLine="3840" w:firstLineChars="1600"/>
        <w:rPr>
          <w:rFonts w:hint="eastAsia" w:ascii="宋体" w:hAnsi="宋体" w:cs="宋体"/>
          <w:sz w:val="24"/>
          <w:szCs w:val="24"/>
          <w:highlight w:val="none"/>
        </w:rPr>
      </w:pPr>
      <w:r>
        <w:rPr>
          <w:rFonts w:hint="eastAsia" w:ascii="宋体" w:hAnsi="宋体" w:cs="宋体"/>
          <w:sz w:val="24"/>
          <w:szCs w:val="24"/>
          <w:highlight w:val="none"/>
        </w:rPr>
        <w:t>法定代表人（签字）：</w:t>
      </w:r>
      <w:r>
        <w:rPr>
          <w:rFonts w:hint="eastAsia" w:ascii="宋体" w:hAnsi="宋体" w:cs="宋体"/>
          <w:sz w:val="24"/>
          <w:szCs w:val="24"/>
          <w:highlight w:val="none"/>
          <w:u w:val="single"/>
        </w:rPr>
        <w:t xml:space="preserve">               </w:t>
      </w:r>
    </w:p>
    <w:p w14:paraId="7E5FD66C">
      <w:pPr>
        <w:spacing w:line="480" w:lineRule="auto"/>
        <w:ind w:firstLine="3840" w:firstLineChars="1600"/>
        <w:rPr>
          <w:rFonts w:hint="eastAsia" w:ascii="宋体" w:hAnsi="宋体" w:cs="宋体"/>
          <w:sz w:val="24"/>
          <w:szCs w:val="24"/>
          <w:highlight w:val="none"/>
          <w:u w:val="single"/>
        </w:rPr>
      </w:pPr>
      <w:r>
        <w:rPr>
          <w:rFonts w:hint="eastAsia" w:ascii="宋体" w:hAnsi="宋体" w:cs="宋体"/>
          <w:sz w:val="24"/>
          <w:szCs w:val="24"/>
          <w:highlight w:val="none"/>
        </w:rPr>
        <w:t>联系电话：</w:t>
      </w:r>
      <w:r>
        <w:rPr>
          <w:rFonts w:hint="eastAsia" w:ascii="宋体" w:hAnsi="宋体" w:cs="宋体"/>
          <w:sz w:val="24"/>
          <w:szCs w:val="24"/>
          <w:highlight w:val="none"/>
          <w:u w:val="single"/>
        </w:rPr>
        <w:t xml:space="preserve">                        </w:t>
      </w:r>
    </w:p>
    <w:p w14:paraId="3DB1F9E0">
      <w:pPr>
        <w:spacing w:line="480" w:lineRule="auto"/>
        <w:ind w:firstLine="3840" w:firstLineChars="1600"/>
        <w:rPr>
          <w:rFonts w:hint="eastAsia" w:ascii="宋体" w:hAnsi="宋体" w:cs="宋体"/>
          <w:sz w:val="24"/>
          <w:szCs w:val="24"/>
          <w:highlight w:val="none"/>
        </w:rPr>
      </w:pPr>
      <w:r>
        <w:rPr>
          <w:rFonts w:hint="eastAsia" w:ascii="宋体" w:hAnsi="宋体" w:cs="宋体"/>
          <w:sz w:val="24"/>
          <w:szCs w:val="24"/>
          <w:highlight w:val="none"/>
        </w:rPr>
        <w:t>日    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p>
    <w:p w14:paraId="1138CA57">
      <w:pPr>
        <w:ind w:firstLine="480"/>
        <w:jc w:val="center"/>
        <w:rPr>
          <w:rFonts w:hint="eastAsia" w:ascii="宋体" w:hAnsi="宋体" w:cs="宋体"/>
          <w:sz w:val="24"/>
          <w:szCs w:val="24"/>
          <w:highlight w:val="none"/>
        </w:rPr>
        <w:sectPr>
          <w:footerReference r:id="rId7" w:type="default"/>
          <w:pgSz w:w="11906" w:h="16838"/>
          <w:pgMar w:top="1304" w:right="1417" w:bottom="1304" w:left="1417" w:header="851" w:footer="992" w:gutter="0"/>
          <w:cols w:space="720" w:num="1"/>
          <w:docGrid w:type="lines" w:linePitch="312" w:charSpace="0"/>
        </w:sectPr>
      </w:pPr>
    </w:p>
    <w:p w14:paraId="4AB72EAA">
      <w:pPr>
        <w:ind w:firstLine="482"/>
        <w:jc w:val="center"/>
        <w:rPr>
          <w:rFonts w:hint="eastAsia" w:ascii="宋体" w:hAnsi="宋体" w:cs="宋体"/>
          <w:b/>
          <w:bCs/>
          <w:sz w:val="24"/>
          <w:szCs w:val="24"/>
          <w:highlight w:val="none"/>
        </w:rPr>
      </w:pPr>
      <w:r>
        <w:rPr>
          <w:rFonts w:hint="eastAsia" w:ascii="宋体" w:hAnsi="宋体" w:cs="宋体"/>
          <w:b/>
          <w:bCs/>
          <w:sz w:val="24"/>
          <w:szCs w:val="24"/>
          <w:highlight w:val="none"/>
        </w:rPr>
        <w:t>第四部分    谈判文件装订顺序及标准</w:t>
      </w:r>
    </w:p>
    <w:tbl>
      <w:tblPr>
        <w:tblStyle w:val="16"/>
        <w:tblpPr w:leftFromText="180" w:rightFromText="180" w:vertAnchor="text" w:horzAnchor="page" w:tblpX="1557" w:tblpY="303"/>
        <w:tblOverlap w:val="never"/>
        <w:tblW w:w="0" w:type="auto"/>
        <w:tblInd w:w="0" w:type="dxa"/>
        <w:tblLayout w:type="fixed"/>
        <w:tblCellMar>
          <w:top w:w="15" w:type="dxa"/>
          <w:left w:w="15" w:type="dxa"/>
          <w:bottom w:w="15" w:type="dxa"/>
          <w:right w:w="15" w:type="dxa"/>
        </w:tblCellMar>
      </w:tblPr>
      <w:tblGrid>
        <w:gridCol w:w="921"/>
        <w:gridCol w:w="7839"/>
      </w:tblGrid>
      <w:tr w14:paraId="24596943">
        <w:tblPrEx>
          <w:tblCellMar>
            <w:top w:w="15" w:type="dxa"/>
            <w:left w:w="15" w:type="dxa"/>
            <w:bottom w:w="15" w:type="dxa"/>
            <w:right w:w="15" w:type="dxa"/>
          </w:tblCellMar>
        </w:tblPrEx>
        <w:trPr>
          <w:trHeight w:val="80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70861F66">
            <w:pPr>
              <w:widowControl/>
              <w:jc w:val="center"/>
              <w:textAlignment w:val="center"/>
              <w:rPr>
                <w:rFonts w:hint="eastAsia" w:ascii="宋体" w:hAnsi="宋体" w:cs="宋体"/>
                <w:b/>
                <w:bCs/>
                <w:sz w:val="24"/>
                <w:szCs w:val="24"/>
                <w:highlight w:val="none"/>
              </w:rPr>
            </w:pPr>
            <w:r>
              <w:rPr>
                <w:rFonts w:hint="eastAsia" w:ascii="宋体" w:hAnsi="宋体" w:cs="宋体"/>
                <w:b/>
                <w:bCs/>
                <w:sz w:val="24"/>
                <w:szCs w:val="24"/>
                <w:highlight w:val="none"/>
              </w:rPr>
              <w:t>序号</w:t>
            </w:r>
          </w:p>
        </w:tc>
        <w:tc>
          <w:tcPr>
            <w:tcW w:w="7839" w:type="dxa"/>
            <w:tcBorders>
              <w:top w:val="single" w:color="000000" w:sz="4" w:space="0"/>
              <w:left w:val="single" w:color="000000" w:sz="4" w:space="0"/>
              <w:bottom w:val="single" w:color="000000" w:sz="4" w:space="0"/>
              <w:right w:val="single" w:color="000000" w:sz="4" w:space="0"/>
            </w:tcBorders>
            <w:vAlign w:val="center"/>
          </w:tcPr>
          <w:p w14:paraId="646F7E9E">
            <w:pPr>
              <w:widowControl/>
              <w:ind w:firstLine="482"/>
              <w:jc w:val="center"/>
              <w:textAlignment w:val="center"/>
              <w:rPr>
                <w:rFonts w:hint="eastAsia" w:ascii="宋体" w:hAnsi="宋体" w:cs="宋体"/>
                <w:b/>
                <w:bCs/>
                <w:sz w:val="24"/>
                <w:szCs w:val="24"/>
                <w:highlight w:val="none"/>
              </w:rPr>
            </w:pPr>
            <w:r>
              <w:rPr>
                <w:rFonts w:hint="eastAsia" w:ascii="宋体" w:hAnsi="宋体" w:cs="宋体"/>
                <w:b/>
                <w:bCs/>
                <w:sz w:val="24"/>
                <w:szCs w:val="24"/>
                <w:highlight w:val="none"/>
              </w:rPr>
              <w:t>资料名称</w:t>
            </w:r>
          </w:p>
        </w:tc>
      </w:tr>
      <w:tr w14:paraId="270791A1">
        <w:tblPrEx>
          <w:tblCellMar>
            <w:top w:w="15" w:type="dxa"/>
            <w:left w:w="15" w:type="dxa"/>
            <w:bottom w:w="15" w:type="dxa"/>
            <w:right w:w="15" w:type="dxa"/>
          </w:tblCellMar>
        </w:tblPrEx>
        <w:trPr>
          <w:trHeight w:val="729"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1527FE78">
            <w:pPr>
              <w:widowControl/>
              <w:jc w:val="center"/>
              <w:textAlignment w:val="center"/>
              <w:rPr>
                <w:rFonts w:hint="eastAsia" w:ascii="宋体" w:hAnsi="宋体" w:cs="宋体"/>
                <w:kern w:val="0"/>
                <w:sz w:val="24"/>
                <w:szCs w:val="24"/>
                <w:highlight w:val="none"/>
                <w:lang w:bidi="ar"/>
              </w:rPr>
            </w:pPr>
            <w:r>
              <w:rPr>
                <w:rFonts w:hint="eastAsia" w:ascii="宋体" w:hAnsi="宋体" w:cs="宋体"/>
                <w:kern w:val="0"/>
                <w:sz w:val="24"/>
                <w:szCs w:val="24"/>
                <w:highlight w:val="none"/>
                <w:lang w:bidi="ar"/>
              </w:rPr>
              <w:t>1</w:t>
            </w:r>
          </w:p>
        </w:tc>
        <w:tc>
          <w:tcPr>
            <w:tcW w:w="7839" w:type="dxa"/>
            <w:tcBorders>
              <w:top w:val="single" w:color="000000" w:sz="4" w:space="0"/>
              <w:left w:val="single" w:color="000000" w:sz="4" w:space="0"/>
              <w:bottom w:val="single" w:color="000000" w:sz="4" w:space="0"/>
              <w:right w:val="single" w:color="000000" w:sz="4" w:space="0"/>
            </w:tcBorders>
            <w:vAlign w:val="center"/>
          </w:tcPr>
          <w:p w14:paraId="3A59EDE1">
            <w:pPr>
              <w:widowControl/>
              <w:jc w:val="center"/>
              <w:textAlignment w:val="center"/>
              <w:rPr>
                <w:rFonts w:hint="eastAsia" w:ascii="宋体" w:hAnsi="宋体" w:cs="宋体"/>
                <w:kern w:val="0"/>
                <w:sz w:val="24"/>
                <w:szCs w:val="24"/>
                <w:highlight w:val="none"/>
                <w:lang w:bidi="ar"/>
              </w:rPr>
            </w:pPr>
            <w:r>
              <w:rPr>
                <w:rFonts w:hint="eastAsia" w:ascii="宋体" w:hAnsi="宋体" w:cs="宋体"/>
                <w:kern w:val="0"/>
                <w:sz w:val="24"/>
                <w:szCs w:val="24"/>
                <w:highlight w:val="none"/>
                <w:lang w:bidi="ar"/>
              </w:rPr>
              <w:t>报价函</w:t>
            </w:r>
          </w:p>
        </w:tc>
      </w:tr>
      <w:tr w14:paraId="544EDCF8">
        <w:tblPrEx>
          <w:tblCellMar>
            <w:top w:w="15" w:type="dxa"/>
            <w:left w:w="15" w:type="dxa"/>
            <w:bottom w:w="15" w:type="dxa"/>
            <w:right w:w="15" w:type="dxa"/>
          </w:tblCellMar>
        </w:tblPrEx>
        <w:trPr>
          <w:trHeight w:val="831"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686A8C80">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2</w:t>
            </w:r>
          </w:p>
        </w:tc>
        <w:tc>
          <w:tcPr>
            <w:tcW w:w="7839" w:type="dxa"/>
            <w:tcBorders>
              <w:top w:val="single" w:color="000000" w:sz="4" w:space="0"/>
              <w:left w:val="single" w:color="000000" w:sz="4" w:space="0"/>
              <w:bottom w:val="single" w:color="000000" w:sz="4" w:space="0"/>
              <w:right w:val="single" w:color="000000" w:sz="4" w:space="0"/>
            </w:tcBorders>
            <w:vAlign w:val="center"/>
          </w:tcPr>
          <w:p w14:paraId="5A9D017C">
            <w:pPr>
              <w:widowControl/>
              <w:jc w:val="center"/>
              <w:textAlignment w:val="center"/>
              <w:rPr>
                <w:rFonts w:hint="eastAsia" w:ascii="宋体" w:hAnsi="宋体" w:cs="宋体"/>
                <w:sz w:val="24"/>
                <w:szCs w:val="24"/>
                <w:highlight w:val="none"/>
              </w:rPr>
            </w:pPr>
            <w:r>
              <w:rPr>
                <w:rFonts w:hint="eastAsia" w:ascii="宋体" w:hAnsi="宋体" w:cs="宋体"/>
                <w:kern w:val="0"/>
                <w:sz w:val="24"/>
                <w:szCs w:val="24"/>
                <w:highlight w:val="none"/>
                <w:lang w:bidi="ar"/>
              </w:rPr>
              <w:t>营业执照、企业资质证、安全生产许可证、开户许可证</w:t>
            </w:r>
          </w:p>
        </w:tc>
      </w:tr>
      <w:tr w14:paraId="2B10FD57">
        <w:tblPrEx>
          <w:tblCellMar>
            <w:top w:w="15" w:type="dxa"/>
            <w:left w:w="15" w:type="dxa"/>
            <w:bottom w:w="15" w:type="dxa"/>
            <w:right w:w="15" w:type="dxa"/>
          </w:tblCellMar>
        </w:tblPrEx>
        <w:trPr>
          <w:trHeight w:val="812"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707FF7A6">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3</w:t>
            </w:r>
          </w:p>
        </w:tc>
        <w:tc>
          <w:tcPr>
            <w:tcW w:w="7839" w:type="dxa"/>
            <w:tcBorders>
              <w:top w:val="single" w:color="000000" w:sz="4" w:space="0"/>
              <w:left w:val="single" w:color="000000" w:sz="4" w:space="0"/>
              <w:bottom w:val="single" w:color="000000" w:sz="4" w:space="0"/>
              <w:right w:val="single" w:color="000000" w:sz="4" w:space="0"/>
            </w:tcBorders>
            <w:vAlign w:val="center"/>
          </w:tcPr>
          <w:p w14:paraId="784C882C">
            <w:pPr>
              <w:widowControl/>
              <w:jc w:val="center"/>
              <w:textAlignment w:val="center"/>
              <w:rPr>
                <w:rFonts w:hint="eastAsia" w:ascii="宋体" w:hAnsi="宋体" w:cs="宋体"/>
                <w:sz w:val="24"/>
                <w:szCs w:val="24"/>
                <w:highlight w:val="none"/>
              </w:rPr>
            </w:pPr>
            <w:r>
              <w:rPr>
                <w:rFonts w:hint="eastAsia" w:ascii="宋体" w:hAnsi="宋体" w:cs="宋体"/>
                <w:kern w:val="0"/>
                <w:sz w:val="24"/>
                <w:szCs w:val="24"/>
                <w:highlight w:val="none"/>
                <w:lang w:bidi="ar"/>
              </w:rPr>
              <w:t>授权委托书</w:t>
            </w:r>
          </w:p>
        </w:tc>
      </w:tr>
      <w:tr w14:paraId="4E2A3EB9">
        <w:tblPrEx>
          <w:tblCellMar>
            <w:top w:w="15" w:type="dxa"/>
            <w:left w:w="15" w:type="dxa"/>
            <w:bottom w:w="15" w:type="dxa"/>
            <w:right w:w="15" w:type="dxa"/>
          </w:tblCellMar>
        </w:tblPrEx>
        <w:trPr>
          <w:trHeight w:val="892"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45D3C819">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4</w:t>
            </w:r>
          </w:p>
        </w:tc>
        <w:tc>
          <w:tcPr>
            <w:tcW w:w="7839" w:type="dxa"/>
            <w:tcBorders>
              <w:top w:val="single" w:color="000000" w:sz="4" w:space="0"/>
              <w:left w:val="single" w:color="000000" w:sz="4" w:space="0"/>
              <w:bottom w:val="single" w:color="000000" w:sz="4" w:space="0"/>
              <w:right w:val="single" w:color="000000" w:sz="4" w:space="0"/>
            </w:tcBorders>
            <w:vAlign w:val="center"/>
          </w:tcPr>
          <w:p w14:paraId="68B04A96">
            <w:pPr>
              <w:widowControl/>
              <w:jc w:val="center"/>
              <w:textAlignment w:val="center"/>
              <w:rPr>
                <w:rFonts w:hint="eastAsia" w:ascii="宋体" w:hAnsi="宋体" w:cs="宋体"/>
                <w:sz w:val="24"/>
                <w:szCs w:val="24"/>
                <w:highlight w:val="none"/>
              </w:rPr>
            </w:pPr>
            <w:r>
              <w:rPr>
                <w:rFonts w:hint="eastAsia" w:ascii="宋体" w:hAnsi="宋体" w:cs="宋体"/>
                <w:kern w:val="0"/>
                <w:sz w:val="24"/>
                <w:szCs w:val="24"/>
                <w:highlight w:val="none"/>
                <w:lang w:bidi="ar"/>
              </w:rPr>
              <w:t>法定代表人、委托代理人身份证复印件</w:t>
            </w:r>
          </w:p>
        </w:tc>
      </w:tr>
      <w:tr w14:paraId="0CE4C9F9">
        <w:tblPrEx>
          <w:tblCellMar>
            <w:top w:w="15" w:type="dxa"/>
            <w:left w:w="15" w:type="dxa"/>
            <w:bottom w:w="15" w:type="dxa"/>
            <w:right w:w="15" w:type="dxa"/>
          </w:tblCellMar>
        </w:tblPrEx>
        <w:trPr>
          <w:trHeight w:val="94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45B51E11">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5</w:t>
            </w:r>
          </w:p>
        </w:tc>
        <w:tc>
          <w:tcPr>
            <w:tcW w:w="7839" w:type="dxa"/>
            <w:tcBorders>
              <w:top w:val="single" w:color="000000" w:sz="4" w:space="0"/>
              <w:left w:val="single" w:color="000000" w:sz="4" w:space="0"/>
              <w:bottom w:val="single" w:color="000000" w:sz="4" w:space="0"/>
              <w:right w:val="single" w:color="000000" w:sz="4" w:space="0"/>
            </w:tcBorders>
            <w:vAlign w:val="center"/>
          </w:tcPr>
          <w:p w14:paraId="504F4A5E">
            <w:pPr>
              <w:widowControl/>
              <w:jc w:val="center"/>
              <w:textAlignment w:val="center"/>
              <w:rPr>
                <w:rFonts w:hint="eastAsia" w:ascii="宋体" w:hAnsi="宋体" w:cs="宋体"/>
                <w:sz w:val="24"/>
                <w:szCs w:val="24"/>
                <w:highlight w:val="none"/>
              </w:rPr>
            </w:pPr>
            <w:r>
              <w:rPr>
                <w:rFonts w:hint="eastAsia" w:ascii="宋体" w:hAnsi="宋体" w:cs="宋体"/>
                <w:kern w:val="0"/>
                <w:sz w:val="24"/>
                <w:szCs w:val="24"/>
                <w:highlight w:val="none"/>
                <w:lang w:bidi="ar"/>
              </w:rPr>
              <w:t>委托代理人、项目经理签订的劳动合同和缴纳的社会保险证明；项目经理具备二级建造师注册证书（建筑专业，并在本单位注册）和安全考核B证</w:t>
            </w:r>
          </w:p>
        </w:tc>
      </w:tr>
      <w:tr w14:paraId="695477D8">
        <w:tblPrEx>
          <w:tblCellMar>
            <w:top w:w="15" w:type="dxa"/>
            <w:left w:w="15" w:type="dxa"/>
            <w:bottom w:w="15" w:type="dxa"/>
            <w:right w:w="15" w:type="dxa"/>
          </w:tblCellMar>
        </w:tblPrEx>
        <w:trPr>
          <w:trHeight w:val="830"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4025166C">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6</w:t>
            </w:r>
          </w:p>
        </w:tc>
        <w:tc>
          <w:tcPr>
            <w:tcW w:w="7839" w:type="dxa"/>
            <w:tcBorders>
              <w:top w:val="single" w:color="000000" w:sz="4" w:space="0"/>
              <w:left w:val="single" w:color="000000" w:sz="4" w:space="0"/>
              <w:bottom w:val="single" w:color="000000" w:sz="4" w:space="0"/>
              <w:right w:val="single" w:color="000000" w:sz="4" w:space="0"/>
            </w:tcBorders>
            <w:vAlign w:val="center"/>
          </w:tcPr>
          <w:p w14:paraId="69D9F337">
            <w:pPr>
              <w:widowControl/>
              <w:jc w:val="center"/>
              <w:textAlignment w:val="center"/>
              <w:rPr>
                <w:rFonts w:hint="eastAsia" w:ascii="宋体" w:hAnsi="宋体" w:cs="宋体"/>
                <w:sz w:val="24"/>
                <w:szCs w:val="24"/>
                <w:highlight w:val="none"/>
              </w:rPr>
            </w:pPr>
            <w:r>
              <w:rPr>
                <w:rFonts w:hint="eastAsia"/>
                <w:sz w:val="24"/>
                <w:szCs w:val="24"/>
                <w:highlight w:val="none"/>
              </w:rPr>
              <w:t>纳税人级别（一般纳税人）</w:t>
            </w:r>
          </w:p>
        </w:tc>
      </w:tr>
      <w:tr w14:paraId="1B8DC96E">
        <w:tblPrEx>
          <w:tblCellMar>
            <w:top w:w="15" w:type="dxa"/>
            <w:left w:w="15" w:type="dxa"/>
            <w:bottom w:w="15" w:type="dxa"/>
            <w:right w:w="15" w:type="dxa"/>
          </w:tblCellMar>
        </w:tblPrEx>
        <w:trPr>
          <w:trHeight w:val="847"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688684C4">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7</w:t>
            </w:r>
          </w:p>
        </w:tc>
        <w:tc>
          <w:tcPr>
            <w:tcW w:w="7839" w:type="dxa"/>
            <w:tcBorders>
              <w:top w:val="single" w:color="000000" w:sz="4" w:space="0"/>
              <w:left w:val="single" w:color="000000" w:sz="4" w:space="0"/>
              <w:bottom w:val="single" w:color="000000" w:sz="4" w:space="0"/>
              <w:right w:val="single" w:color="000000" w:sz="4" w:space="0"/>
            </w:tcBorders>
            <w:vAlign w:val="center"/>
          </w:tcPr>
          <w:p w14:paraId="0BA0313E">
            <w:pPr>
              <w:widowControl/>
              <w:jc w:val="center"/>
              <w:textAlignment w:val="center"/>
              <w:rPr>
                <w:rFonts w:hint="eastAsia" w:ascii="宋体" w:hAnsi="宋体" w:cs="宋体"/>
                <w:sz w:val="24"/>
                <w:szCs w:val="24"/>
                <w:highlight w:val="none"/>
              </w:rPr>
            </w:pPr>
            <w:r>
              <w:rPr>
                <w:rFonts w:hint="eastAsia"/>
                <w:sz w:val="24"/>
                <w:szCs w:val="24"/>
                <w:highlight w:val="none"/>
              </w:rPr>
              <w:t>公司相应管理人员、技术工人、操作工证件</w:t>
            </w:r>
          </w:p>
        </w:tc>
      </w:tr>
      <w:tr w14:paraId="32479E58">
        <w:tblPrEx>
          <w:tblCellMar>
            <w:top w:w="15" w:type="dxa"/>
            <w:left w:w="15" w:type="dxa"/>
            <w:bottom w:w="15" w:type="dxa"/>
            <w:right w:w="15" w:type="dxa"/>
          </w:tblCellMar>
        </w:tblPrEx>
        <w:trPr>
          <w:trHeight w:val="779"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29753364">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8</w:t>
            </w:r>
          </w:p>
        </w:tc>
        <w:tc>
          <w:tcPr>
            <w:tcW w:w="7839" w:type="dxa"/>
            <w:tcBorders>
              <w:top w:val="single" w:color="000000" w:sz="4" w:space="0"/>
              <w:left w:val="single" w:color="000000" w:sz="4" w:space="0"/>
              <w:bottom w:val="single" w:color="000000" w:sz="4" w:space="0"/>
              <w:right w:val="single" w:color="000000" w:sz="4" w:space="0"/>
            </w:tcBorders>
            <w:vAlign w:val="center"/>
          </w:tcPr>
          <w:p w14:paraId="1041402C">
            <w:pPr>
              <w:widowControl/>
              <w:jc w:val="center"/>
              <w:textAlignment w:val="center"/>
              <w:rPr>
                <w:rFonts w:hint="eastAsia" w:ascii="宋体" w:hAnsi="宋体" w:cs="宋体"/>
                <w:sz w:val="24"/>
                <w:szCs w:val="24"/>
                <w:highlight w:val="none"/>
              </w:rPr>
            </w:pPr>
            <w:r>
              <w:rPr>
                <w:rFonts w:hint="eastAsia"/>
                <w:sz w:val="24"/>
                <w:szCs w:val="24"/>
                <w:highlight w:val="none"/>
              </w:rPr>
              <w:t>具备近三年工程业绩（附合同）</w:t>
            </w:r>
          </w:p>
        </w:tc>
      </w:tr>
      <w:tr w14:paraId="6FE81800">
        <w:tblPrEx>
          <w:tblCellMar>
            <w:top w:w="15" w:type="dxa"/>
            <w:left w:w="15" w:type="dxa"/>
            <w:bottom w:w="15" w:type="dxa"/>
            <w:right w:w="15" w:type="dxa"/>
          </w:tblCellMar>
        </w:tblPrEx>
        <w:trPr>
          <w:trHeight w:val="847"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00925EF4">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9</w:t>
            </w:r>
          </w:p>
        </w:tc>
        <w:tc>
          <w:tcPr>
            <w:tcW w:w="7839" w:type="dxa"/>
            <w:tcBorders>
              <w:top w:val="single" w:color="000000" w:sz="4" w:space="0"/>
              <w:left w:val="single" w:color="000000" w:sz="4" w:space="0"/>
              <w:bottom w:val="single" w:color="000000" w:sz="4" w:space="0"/>
              <w:right w:val="single" w:color="000000" w:sz="4" w:space="0"/>
            </w:tcBorders>
            <w:vAlign w:val="center"/>
          </w:tcPr>
          <w:p w14:paraId="0A5166F9">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具有近一年经审计的年终审计财务报告（4张表即可）</w:t>
            </w:r>
          </w:p>
        </w:tc>
      </w:tr>
      <w:tr w14:paraId="7A177BB6">
        <w:tblPrEx>
          <w:tblCellMar>
            <w:top w:w="15" w:type="dxa"/>
            <w:left w:w="15" w:type="dxa"/>
            <w:bottom w:w="15" w:type="dxa"/>
            <w:right w:w="15" w:type="dxa"/>
          </w:tblCellMar>
        </w:tblPrEx>
        <w:trPr>
          <w:trHeight w:val="94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35EDB086">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10</w:t>
            </w:r>
          </w:p>
        </w:tc>
        <w:tc>
          <w:tcPr>
            <w:tcW w:w="7839" w:type="dxa"/>
            <w:tcBorders>
              <w:top w:val="single" w:color="000000" w:sz="4" w:space="0"/>
              <w:left w:val="single" w:color="000000" w:sz="4" w:space="0"/>
              <w:bottom w:val="single" w:color="000000" w:sz="4" w:space="0"/>
              <w:right w:val="single" w:color="000000" w:sz="4" w:space="0"/>
            </w:tcBorders>
            <w:vAlign w:val="center"/>
          </w:tcPr>
          <w:p w14:paraId="7A99D1ED">
            <w:pPr>
              <w:widowControl/>
              <w:jc w:val="center"/>
              <w:textAlignment w:val="center"/>
              <w:rPr>
                <w:highlight w:val="none"/>
              </w:rPr>
            </w:pPr>
            <w:r>
              <w:rPr>
                <w:rFonts w:hint="eastAsia" w:ascii="宋体" w:hAnsi="宋体" w:cs="宋体"/>
                <w:sz w:val="24"/>
                <w:szCs w:val="24"/>
                <w:highlight w:val="none"/>
              </w:rPr>
              <w:t>信誉要求：在信用中国网站（www.creditchina.gov.cn）的信用信息记录中不得存在失信记录（要求附信用中国《信用信息报告》）</w:t>
            </w:r>
          </w:p>
        </w:tc>
      </w:tr>
      <w:tr w14:paraId="2E9CDA04">
        <w:tblPrEx>
          <w:tblCellMar>
            <w:top w:w="15" w:type="dxa"/>
            <w:left w:w="15" w:type="dxa"/>
            <w:bottom w:w="15" w:type="dxa"/>
            <w:right w:w="15" w:type="dxa"/>
          </w:tblCellMar>
        </w:tblPrEx>
        <w:trPr>
          <w:trHeight w:val="760"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71F1F6D1">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11</w:t>
            </w:r>
          </w:p>
        </w:tc>
        <w:tc>
          <w:tcPr>
            <w:tcW w:w="7839" w:type="dxa"/>
            <w:tcBorders>
              <w:top w:val="single" w:color="000000" w:sz="4" w:space="0"/>
              <w:left w:val="single" w:color="000000" w:sz="4" w:space="0"/>
              <w:bottom w:val="single" w:color="000000" w:sz="4" w:space="0"/>
              <w:right w:val="single" w:color="000000" w:sz="4" w:space="0"/>
            </w:tcBorders>
            <w:vAlign w:val="center"/>
          </w:tcPr>
          <w:p w14:paraId="6A9699F2">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施工方案</w:t>
            </w:r>
          </w:p>
        </w:tc>
      </w:tr>
      <w:tr w14:paraId="4C2AAB9E">
        <w:tblPrEx>
          <w:tblCellMar>
            <w:top w:w="15" w:type="dxa"/>
            <w:left w:w="15" w:type="dxa"/>
            <w:bottom w:w="15" w:type="dxa"/>
            <w:right w:w="15" w:type="dxa"/>
          </w:tblCellMar>
        </w:tblPrEx>
        <w:trPr>
          <w:trHeight w:val="72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5264A404">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12</w:t>
            </w:r>
          </w:p>
        </w:tc>
        <w:tc>
          <w:tcPr>
            <w:tcW w:w="7839" w:type="dxa"/>
            <w:tcBorders>
              <w:top w:val="single" w:color="000000" w:sz="4" w:space="0"/>
              <w:left w:val="single" w:color="000000" w:sz="4" w:space="0"/>
              <w:bottom w:val="single" w:color="000000" w:sz="4" w:space="0"/>
              <w:right w:val="single" w:color="000000" w:sz="4" w:space="0"/>
            </w:tcBorders>
            <w:vAlign w:val="center"/>
          </w:tcPr>
          <w:p w14:paraId="79F5221D">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（一）报价汇总表      （二）最终报价表</w:t>
            </w:r>
          </w:p>
        </w:tc>
      </w:tr>
      <w:tr w14:paraId="231B9E08">
        <w:tblPrEx>
          <w:tblCellMar>
            <w:top w:w="15" w:type="dxa"/>
            <w:left w:w="15" w:type="dxa"/>
            <w:bottom w:w="15" w:type="dxa"/>
            <w:right w:w="15" w:type="dxa"/>
          </w:tblCellMar>
        </w:tblPrEx>
        <w:trPr>
          <w:trHeight w:val="739"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1C06BA9F">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13</w:t>
            </w:r>
          </w:p>
        </w:tc>
        <w:tc>
          <w:tcPr>
            <w:tcW w:w="7839" w:type="dxa"/>
            <w:tcBorders>
              <w:top w:val="single" w:color="000000" w:sz="4" w:space="0"/>
              <w:left w:val="single" w:color="000000" w:sz="4" w:space="0"/>
              <w:bottom w:val="single" w:color="000000" w:sz="4" w:space="0"/>
              <w:right w:val="single" w:color="000000" w:sz="4" w:space="0"/>
            </w:tcBorders>
            <w:vAlign w:val="center"/>
          </w:tcPr>
          <w:p w14:paraId="493220A8">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清单</w:t>
            </w:r>
          </w:p>
        </w:tc>
      </w:tr>
    </w:tbl>
    <w:p w14:paraId="758A59F1">
      <w:pPr>
        <w:ind w:firstLine="482"/>
        <w:jc w:val="center"/>
        <w:rPr>
          <w:rFonts w:hint="eastAsia" w:ascii="宋体" w:hAnsi="宋体" w:cs="宋体"/>
          <w:b/>
          <w:bCs/>
          <w:sz w:val="24"/>
          <w:szCs w:val="24"/>
          <w:highlight w:val="none"/>
        </w:rPr>
      </w:pPr>
    </w:p>
    <w:p w14:paraId="57A965DD">
      <w:pPr>
        <w:ind w:firstLine="422" w:firstLineChars="200"/>
        <w:rPr>
          <w:rFonts w:hint="eastAsia" w:ascii="宋体" w:hAnsi="宋体" w:cs="宋体"/>
          <w:b/>
          <w:bCs/>
          <w:szCs w:val="21"/>
          <w:highlight w:val="none"/>
        </w:rPr>
      </w:pPr>
      <w:r>
        <w:rPr>
          <w:rFonts w:hint="eastAsia" w:ascii="宋体" w:hAnsi="宋体" w:cs="宋体"/>
          <w:b/>
          <w:bCs/>
          <w:szCs w:val="21"/>
          <w:highlight w:val="none"/>
        </w:rPr>
        <w:t>装订要求：胶装，密封。</w:t>
      </w:r>
    </w:p>
    <w:p w14:paraId="18B5BE1B">
      <w:pPr>
        <w:ind w:firstLine="422" w:firstLineChars="200"/>
        <w:rPr>
          <w:rFonts w:hint="eastAsia" w:ascii="宋体" w:hAnsi="宋体" w:cs="宋体"/>
          <w:b/>
          <w:bCs/>
          <w:szCs w:val="21"/>
          <w:highlight w:val="none"/>
        </w:rPr>
      </w:pPr>
    </w:p>
    <w:p w14:paraId="0F4ADE17">
      <w:pPr>
        <w:spacing w:line="500" w:lineRule="exact"/>
        <w:ind w:firstLine="482"/>
        <w:jc w:val="center"/>
        <w:rPr>
          <w:rFonts w:hint="eastAsia" w:ascii="宋体" w:hAnsi="宋体" w:cs="宋体"/>
          <w:b/>
          <w:bCs/>
          <w:sz w:val="24"/>
          <w:szCs w:val="24"/>
          <w:highlight w:val="none"/>
        </w:rPr>
      </w:pPr>
      <w:r>
        <w:rPr>
          <w:rFonts w:hint="eastAsia" w:ascii="宋体" w:hAnsi="宋体" w:cs="宋体"/>
          <w:b/>
          <w:bCs/>
          <w:sz w:val="24"/>
          <w:szCs w:val="24"/>
          <w:highlight w:val="none"/>
        </w:rPr>
        <w:br w:type="page"/>
      </w:r>
      <w:r>
        <w:rPr>
          <w:rFonts w:hint="eastAsia" w:ascii="宋体" w:hAnsi="宋体" w:cs="宋体"/>
          <w:b/>
          <w:bCs/>
          <w:sz w:val="24"/>
          <w:szCs w:val="24"/>
          <w:highlight w:val="none"/>
        </w:rPr>
        <w:t>第五部分   报价函部分格式</w:t>
      </w:r>
    </w:p>
    <w:p w14:paraId="4636C862">
      <w:pPr>
        <w:spacing w:line="500" w:lineRule="exact"/>
        <w:ind w:firstLine="482"/>
        <w:jc w:val="center"/>
        <w:rPr>
          <w:rFonts w:hint="eastAsia" w:ascii="宋体" w:hAnsi="宋体" w:cs="宋体"/>
          <w:b/>
          <w:bCs/>
          <w:sz w:val="24"/>
          <w:szCs w:val="24"/>
          <w:highlight w:val="none"/>
        </w:rPr>
      </w:pPr>
      <w:r>
        <w:rPr>
          <w:rFonts w:hint="eastAsia" w:ascii="宋体" w:hAnsi="宋体" w:cs="宋体"/>
          <w:b/>
          <w:bCs/>
          <w:sz w:val="24"/>
          <w:szCs w:val="24"/>
          <w:highlight w:val="none"/>
        </w:rPr>
        <w:t>一、报 价 函</w:t>
      </w:r>
    </w:p>
    <w:p w14:paraId="3EB24200">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致：山西潞安工程有限公司</w:t>
      </w:r>
    </w:p>
    <w:p w14:paraId="579AD124">
      <w:pPr>
        <w:spacing w:line="500" w:lineRule="exact"/>
        <w:ind w:firstLine="480" w:firstLineChars="200"/>
        <w:rPr>
          <w:rFonts w:hint="eastAsia" w:ascii="宋体" w:hAnsi="宋体" w:cs="宋体"/>
          <w:b/>
          <w:bCs/>
          <w:sz w:val="24"/>
          <w:szCs w:val="24"/>
          <w:highlight w:val="none"/>
          <w:u w:val="single"/>
        </w:rPr>
      </w:pPr>
      <w:r>
        <w:rPr>
          <w:rFonts w:hint="eastAsia" w:ascii="宋体" w:hAnsi="宋体" w:cs="宋体"/>
          <w:sz w:val="24"/>
          <w:szCs w:val="24"/>
          <w:highlight w:val="none"/>
        </w:rPr>
        <w:t>经研究，我方决定参加</w:t>
      </w:r>
      <w:r>
        <w:rPr>
          <w:rFonts w:hint="eastAsia" w:ascii="宋体" w:hAnsi="宋体" w:cs="宋体"/>
          <w:sz w:val="24"/>
          <w:szCs w:val="24"/>
          <w:highlight w:val="none"/>
          <w:u w:val="single"/>
        </w:rPr>
        <w:t>司马煤业采煤沉陷区（1206、1207、1208、1209、1213工作面）综合治理项目</w:t>
      </w:r>
      <w:r>
        <w:rPr>
          <w:rFonts w:hint="eastAsia" w:ascii="宋体" w:hAnsi="宋体" w:cs="宋体"/>
          <w:sz w:val="24"/>
          <w:szCs w:val="24"/>
          <w:highlight w:val="none"/>
          <w:u w:val="single"/>
          <w:lang w:eastAsia="zh-CN"/>
        </w:rPr>
        <w:t>（</w:t>
      </w:r>
      <w:r>
        <w:rPr>
          <w:rFonts w:hint="eastAsia" w:ascii="宋体" w:hAnsi="宋体" w:cs="宋体"/>
          <w:sz w:val="24"/>
          <w:szCs w:val="24"/>
          <w:highlight w:val="none"/>
          <w:u w:val="single"/>
          <w:lang w:val="en-US" w:eastAsia="zh-CN"/>
        </w:rPr>
        <w:t>土方）</w:t>
      </w:r>
      <w:r>
        <w:rPr>
          <w:rFonts w:hint="eastAsia" w:ascii="宋体" w:hAnsi="宋体" w:cs="宋体"/>
          <w:sz w:val="24"/>
          <w:szCs w:val="24"/>
          <w:highlight w:val="none"/>
        </w:rPr>
        <w:t>施工的谈判活动并提交报价文件，为此，我方郑重声明以下诸点，并负法律责任。</w:t>
      </w:r>
    </w:p>
    <w:p w14:paraId="6956356E">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1、我方提交的报价文件，正本一份，副本三份。</w:t>
      </w:r>
    </w:p>
    <w:p w14:paraId="2B4CB79F">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2、如果我方的报价文件被接受，我方将履行谈判文件中规定的每一项要求，并按我方报价文件及其承诺按期、保质、保量提供服务。</w:t>
      </w:r>
    </w:p>
    <w:p w14:paraId="392D0F80">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3、我方理解贵机构有选择成交供应商的权利。</w:t>
      </w:r>
    </w:p>
    <w:p w14:paraId="10B878F2">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4、我方愿按《中华人民共和国民法典》履行自己的全部责任。</w:t>
      </w:r>
    </w:p>
    <w:p w14:paraId="10048E6B">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5、我方同意遵守贵机构有关谈判会议的各项规定。</w:t>
      </w:r>
    </w:p>
    <w:p w14:paraId="19D862AF">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6、我方的报价文件自报价之日起有效期至合同签订完成。</w:t>
      </w:r>
    </w:p>
    <w:p w14:paraId="1D4E95D0">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7、我方若未中标，贵机构有权不做解释。</w:t>
      </w:r>
    </w:p>
    <w:p w14:paraId="6AD615EA">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 xml:space="preserve">8、本次报价： </w:t>
      </w:r>
      <w:bookmarkStart w:id="134" w:name="OLE_LINK9"/>
      <w:r>
        <w:rPr>
          <w:rFonts w:hint="eastAsia" w:ascii="宋体" w:hAnsi="宋体" w:cs="宋体"/>
          <w:sz w:val="24"/>
          <w:szCs w:val="24"/>
          <w:highlight w:val="none"/>
          <w:u w:val="single"/>
        </w:rPr>
        <w:t xml:space="preserve">              元</w:t>
      </w:r>
      <w:bookmarkEnd w:id="134"/>
      <w:r>
        <w:rPr>
          <w:rFonts w:hint="eastAsia" w:ascii="宋体" w:hAnsi="宋体" w:cs="宋体"/>
          <w:sz w:val="24"/>
          <w:szCs w:val="24"/>
          <w:highlight w:val="none"/>
        </w:rPr>
        <w:t>（不含税）；</w:t>
      </w:r>
    </w:p>
    <w:p w14:paraId="3213AB8B">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谈判代表（委托代理人）姓名：             职务：</w:t>
      </w:r>
    </w:p>
    <w:p w14:paraId="37A8BEF3">
      <w:pPr>
        <w:spacing w:line="500" w:lineRule="exact"/>
        <w:ind w:firstLine="480" w:firstLineChars="200"/>
        <w:rPr>
          <w:rFonts w:hint="eastAsia" w:ascii="宋体" w:hAnsi="宋体" w:cs="宋体"/>
          <w:sz w:val="24"/>
          <w:szCs w:val="24"/>
          <w:highlight w:val="none"/>
        </w:rPr>
      </w:pPr>
    </w:p>
    <w:p w14:paraId="5FB246BE">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施工单位全称（公章）：</w:t>
      </w:r>
    </w:p>
    <w:p w14:paraId="5550D864">
      <w:pPr>
        <w:spacing w:line="500" w:lineRule="exact"/>
        <w:ind w:firstLine="480" w:firstLineChars="200"/>
        <w:rPr>
          <w:rFonts w:hint="eastAsia" w:ascii="宋体" w:hAnsi="宋体" w:cs="宋体"/>
          <w:sz w:val="24"/>
          <w:szCs w:val="24"/>
          <w:highlight w:val="none"/>
        </w:rPr>
      </w:pPr>
    </w:p>
    <w:p w14:paraId="198A475A">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法定代表人或其委托代理人签章：</w:t>
      </w:r>
    </w:p>
    <w:p w14:paraId="68E0050F">
      <w:pPr>
        <w:spacing w:line="500" w:lineRule="exact"/>
        <w:ind w:firstLine="480" w:firstLineChars="200"/>
        <w:rPr>
          <w:rFonts w:hint="eastAsia" w:ascii="宋体" w:hAnsi="宋体" w:cs="宋体"/>
          <w:sz w:val="24"/>
          <w:szCs w:val="24"/>
          <w:highlight w:val="none"/>
        </w:rPr>
      </w:pPr>
    </w:p>
    <w:p w14:paraId="752F0795">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 xml:space="preserve">地 址：                            邮政编码：                            </w:t>
      </w:r>
    </w:p>
    <w:p w14:paraId="2842D7FD">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电 话：                            传 真：</w:t>
      </w:r>
    </w:p>
    <w:p w14:paraId="2764DE4D">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 xml:space="preserve">                                         </w:t>
      </w:r>
    </w:p>
    <w:p w14:paraId="63B0FE32">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 xml:space="preserve">       </w:t>
      </w:r>
    </w:p>
    <w:p w14:paraId="1814B648">
      <w:pPr>
        <w:spacing w:line="500" w:lineRule="exact"/>
        <w:ind w:firstLine="5760" w:firstLineChars="2400"/>
        <w:rPr>
          <w:rFonts w:hint="eastAsia" w:ascii="宋体" w:hAnsi="宋体" w:cs="宋体"/>
          <w:sz w:val="24"/>
          <w:szCs w:val="24"/>
          <w:highlight w:val="none"/>
        </w:rPr>
      </w:pPr>
      <w:r>
        <w:rPr>
          <w:rFonts w:hint="eastAsia" w:ascii="宋体" w:hAnsi="宋体" w:cs="宋体"/>
          <w:sz w:val="24"/>
          <w:szCs w:val="24"/>
          <w:highlight w:val="none"/>
        </w:rPr>
        <w:t>年   月   日</w:t>
      </w:r>
    </w:p>
    <w:p w14:paraId="6DA1B422">
      <w:pPr>
        <w:spacing w:line="560" w:lineRule="exact"/>
        <w:ind w:firstLine="482"/>
        <w:jc w:val="center"/>
        <w:rPr>
          <w:rFonts w:hint="eastAsia" w:ascii="宋体" w:hAnsi="宋体" w:cs="宋体"/>
          <w:b/>
          <w:bCs/>
          <w:sz w:val="24"/>
          <w:szCs w:val="24"/>
          <w:highlight w:val="none"/>
        </w:rPr>
      </w:pPr>
      <w:r>
        <w:rPr>
          <w:rFonts w:hint="eastAsia" w:ascii="宋体" w:hAnsi="宋体" w:cs="宋体"/>
          <w:b/>
          <w:bCs/>
          <w:sz w:val="24"/>
          <w:szCs w:val="24"/>
          <w:highlight w:val="none"/>
        </w:rPr>
        <w:br w:type="page"/>
      </w:r>
      <w:r>
        <w:rPr>
          <w:rFonts w:hint="eastAsia" w:ascii="宋体" w:hAnsi="宋体" w:cs="宋体"/>
          <w:b/>
          <w:bCs/>
          <w:sz w:val="24"/>
          <w:szCs w:val="24"/>
          <w:highlight w:val="none"/>
        </w:rPr>
        <w:t>二、法定代表人授权委托书</w:t>
      </w:r>
    </w:p>
    <w:p w14:paraId="6F885D3B">
      <w:pPr>
        <w:spacing w:line="560" w:lineRule="exact"/>
        <w:rPr>
          <w:rFonts w:hint="eastAsia" w:ascii="宋体" w:hAnsi="宋体" w:cs="宋体"/>
          <w:sz w:val="24"/>
          <w:szCs w:val="24"/>
          <w:highlight w:val="none"/>
        </w:rPr>
      </w:pPr>
      <w:r>
        <w:rPr>
          <w:rFonts w:hint="eastAsia" w:ascii="宋体" w:hAnsi="宋体" w:cs="宋体"/>
          <w:sz w:val="24"/>
          <w:szCs w:val="24"/>
          <w:highlight w:val="none"/>
        </w:rPr>
        <w:t>山西潞安工程有限公司：</w:t>
      </w:r>
    </w:p>
    <w:p w14:paraId="5D6D9B64">
      <w:pPr>
        <w:spacing w:line="56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我</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公司的法定代表人，现授权</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（身份证号码                      ）</w:t>
      </w:r>
      <w:r>
        <w:rPr>
          <w:rFonts w:hint="eastAsia" w:ascii="宋体" w:hAnsi="宋体" w:cs="宋体"/>
          <w:sz w:val="24"/>
          <w:szCs w:val="24"/>
          <w:highlight w:val="none"/>
        </w:rPr>
        <w:t>为我公司的合法委托代理人，办理与贵公司的</w:t>
      </w:r>
      <w:r>
        <w:rPr>
          <w:rFonts w:hint="eastAsia" w:ascii="宋体" w:hAnsi="宋体" w:cs="宋体"/>
          <w:sz w:val="24"/>
          <w:szCs w:val="24"/>
          <w:highlight w:val="none"/>
          <w:u w:val="single"/>
        </w:rPr>
        <w:t>司马煤业采煤沉陷区（1206、1207、1208、1209、1213工作面）综合治理项目</w:t>
      </w:r>
      <w:bookmarkStart w:id="135" w:name="_Hlk99962718"/>
      <w:r>
        <w:rPr>
          <w:rFonts w:hint="eastAsia" w:ascii="宋体" w:hAnsi="宋体" w:cs="宋体"/>
          <w:sz w:val="24"/>
          <w:szCs w:val="24"/>
          <w:highlight w:val="none"/>
          <w:u w:val="single"/>
          <w:lang w:eastAsia="zh-CN"/>
        </w:rPr>
        <w:t>（</w:t>
      </w:r>
      <w:r>
        <w:rPr>
          <w:rFonts w:hint="eastAsia" w:ascii="宋体" w:hAnsi="宋体" w:cs="宋体"/>
          <w:sz w:val="24"/>
          <w:szCs w:val="24"/>
          <w:highlight w:val="none"/>
          <w:u w:val="single"/>
          <w:lang w:val="en-US" w:eastAsia="zh-CN"/>
        </w:rPr>
        <w:t>土方）</w:t>
      </w:r>
      <w:r>
        <w:rPr>
          <w:rFonts w:hint="eastAsia" w:ascii="宋体" w:hAnsi="宋体" w:cs="宋体"/>
          <w:sz w:val="24"/>
          <w:szCs w:val="24"/>
          <w:highlight w:val="none"/>
          <w:u w:val="single"/>
        </w:rPr>
        <w:t xml:space="preserve">  </w:t>
      </w:r>
      <w:r>
        <w:rPr>
          <w:rFonts w:hint="eastAsia" w:ascii="宋体" w:hAnsi="宋体" w:cs="宋体"/>
          <w:sz w:val="24"/>
          <w:szCs w:val="24"/>
          <w:highlight w:val="none"/>
        </w:rPr>
        <w:t>商务谈判、合同签订及施工等的一切事宜</w:t>
      </w:r>
      <w:bookmarkEnd w:id="135"/>
      <w:r>
        <w:rPr>
          <w:rFonts w:hint="eastAsia" w:ascii="宋体" w:hAnsi="宋体" w:cs="宋体"/>
          <w:sz w:val="24"/>
          <w:szCs w:val="24"/>
          <w:highlight w:val="none"/>
        </w:rPr>
        <w:t>，</w:t>
      </w:r>
      <w:bookmarkStart w:id="136" w:name="_Hlk99962738"/>
      <w:r>
        <w:rPr>
          <w:rFonts w:hint="eastAsia" w:ascii="宋体" w:hAnsi="宋体" w:cs="宋体"/>
          <w:sz w:val="24"/>
          <w:szCs w:val="24"/>
          <w:highlight w:val="none"/>
        </w:rPr>
        <w:t>并代表我公司签署相关的各类文件包括但不限于签订合同、办理结算等文件我单位均予承认</w:t>
      </w:r>
      <w:bookmarkEnd w:id="136"/>
      <w:r>
        <w:rPr>
          <w:rFonts w:hint="eastAsia" w:ascii="宋体" w:hAnsi="宋体" w:cs="宋体"/>
          <w:sz w:val="24"/>
          <w:szCs w:val="24"/>
          <w:highlight w:val="none"/>
        </w:rPr>
        <w:t>。对其行为，我公司均予以确认并承担相应的法律责任。</w:t>
      </w:r>
    </w:p>
    <w:p w14:paraId="50EF2804">
      <w:pPr>
        <w:spacing w:line="56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本授权有效期从</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日起至</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日止。被授权人在授权期内签署的所有文件不因授权的撤销而失效。</w:t>
      </w:r>
    </w:p>
    <w:p w14:paraId="01DEEF62">
      <w:pPr>
        <w:spacing w:line="56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本授权不允许转委托。</w:t>
      </w:r>
    </w:p>
    <w:p w14:paraId="6092327B">
      <w:pPr>
        <w:spacing w:line="560" w:lineRule="exact"/>
        <w:ind w:firstLine="480" w:firstLineChars="200"/>
        <w:rPr>
          <w:rFonts w:hint="eastAsia" w:ascii="宋体" w:hAnsi="宋体" w:cs="宋体"/>
          <w:sz w:val="24"/>
          <w:szCs w:val="24"/>
          <w:highlight w:val="none"/>
        </w:rPr>
      </w:pPr>
    </w:p>
    <w:p w14:paraId="63A77525">
      <w:pPr>
        <w:spacing w:line="560" w:lineRule="exact"/>
        <w:rPr>
          <w:rFonts w:hint="eastAsia" w:ascii="宋体" w:hAnsi="宋体" w:cs="宋体"/>
          <w:sz w:val="24"/>
          <w:szCs w:val="24"/>
          <w:highlight w:val="none"/>
        </w:rPr>
      </w:pPr>
    </w:p>
    <w:p w14:paraId="2A4602D4">
      <w:pPr>
        <w:spacing w:line="56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法定代表人：（盖章或签名）           委托代理人：（签名）</w:t>
      </w:r>
    </w:p>
    <w:p w14:paraId="5AE7588E">
      <w:pPr>
        <w:spacing w:line="560" w:lineRule="exact"/>
        <w:ind w:firstLine="480" w:firstLineChars="200"/>
        <w:rPr>
          <w:rFonts w:hint="eastAsia" w:ascii="宋体" w:hAnsi="宋体" w:cs="宋体"/>
          <w:sz w:val="24"/>
          <w:szCs w:val="24"/>
          <w:highlight w:val="none"/>
        </w:rPr>
      </w:pPr>
    </w:p>
    <w:p w14:paraId="783D1BBF">
      <w:pPr>
        <w:spacing w:line="560" w:lineRule="exact"/>
        <w:ind w:firstLine="480" w:firstLineChars="200"/>
        <w:rPr>
          <w:rFonts w:hint="eastAsia" w:ascii="宋体" w:hAnsi="宋体" w:cs="宋体"/>
          <w:sz w:val="24"/>
          <w:szCs w:val="24"/>
          <w:highlight w:val="none"/>
        </w:rPr>
      </w:pPr>
    </w:p>
    <w:p w14:paraId="5B5E5842">
      <w:pPr>
        <w:spacing w:line="56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 xml:space="preserve">法人身份证复印件（附后）     </w:t>
      </w:r>
    </w:p>
    <w:p w14:paraId="4D6CCF24">
      <w:pPr>
        <w:spacing w:line="56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委托代理人身份证复印件（附后）</w:t>
      </w:r>
    </w:p>
    <w:p w14:paraId="625378E2">
      <w:pPr>
        <w:spacing w:line="560" w:lineRule="exact"/>
        <w:rPr>
          <w:rFonts w:hint="eastAsia" w:ascii="宋体" w:hAnsi="宋体" w:cs="宋体"/>
          <w:sz w:val="24"/>
          <w:szCs w:val="24"/>
          <w:highlight w:val="none"/>
        </w:rPr>
      </w:pPr>
    </w:p>
    <w:p w14:paraId="37516A04">
      <w:pPr>
        <w:pStyle w:val="14"/>
        <w:spacing w:line="560" w:lineRule="exact"/>
        <w:ind w:firstLine="240"/>
        <w:rPr>
          <w:rFonts w:hint="eastAsia" w:ascii="宋体" w:hAnsi="宋体" w:cs="宋体"/>
          <w:sz w:val="24"/>
          <w:highlight w:val="none"/>
        </w:rPr>
      </w:pPr>
    </w:p>
    <w:p w14:paraId="495CF538">
      <w:pPr>
        <w:spacing w:line="560" w:lineRule="exact"/>
        <w:ind w:firstLine="5160" w:firstLineChars="2150"/>
        <w:rPr>
          <w:rFonts w:hint="eastAsia" w:ascii="宋体" w:hAnsi="宋体" w:cs="宋体"/>
          <w:sz w:val="24"/>
          <w:szCs w:val="24"/>
          <w:highlight w:val="none"/>
        </w:rPr>
      </w:pPr>
      <w:r>
        <w:rPr>
          <w:rFonts w:hint="eastAsia" w:ascii="宋体" w:hAnsi="宋体" w:cs="宋体"/>
          <w:sz w:val="24"/>
          <w:szCs w:val="24"/>
          <w:highlight w:val="none"/>
        </w:rPr>
        <w:t xml:space="preserve">委托单位：（盖章）           </w:t>
      </w:r>
    </w:p>
    <w:p w14:paraId="0E38300D">
      <w:pPr>
        <w:spacing w:line="560" w:lineRule="exact"/>
        <w:ind w:firstLine="2880" w:firstLineChars="1200"/>
        <w:rPr>
          <w:rFonts w:hint="eastAsia" w:ascii="宋体" w:hAnsi="宋体" w:cs="宋体"/>
          <w:sz w:val="24"/>
          <w:szCs w:val="24"/>
          <w:highlight w:val="none"/>
        </w:rPr>
      </w:pPr>
      <w:r>
        <w:rPr>
          <w:rFonts w:hint="eastAsia" w:ascii="宋体" w:hAnsi="宋体" w:cs="宋体"/>
          <w:sz w:val="24"/>
          <w:szCs w:val="24"/>
          <w:highlight w:val="none"/>
        </w:rPr>
        <w:t xml:space="preserve">                   年    月    日</w:t>
      </w:r>
    </w:p>
    <w:p w14:paraId="1C9819DF">
      <w:pPr>
        <w:jc w:val="center"/>
        <w:rPr>
          <w:rFonts w:hint="eastAsia" w:ascii="宋体" w:hAnsi="宋体" w:cs="宋体"/>
          <w:sz w:val="24"/>
          <w:szCs w:val="24"/>
          <w:highlight w:val="none"/>
        </w:rPr>
      </w:pPr>
    </w:p>
    <w:p w14:paraId="12254DDE">
      <w:pPr>
        <w:jc w:val="center"/>
        <w:rPr>
          <w:rFonts w:hint="eastAsia" w:ascii="宋体" w:hAnsi="宋体" w:cs="宋体"/>
          <w:sz w:val="24"/>
          <w:szCs w:val="24"/>
          <w:highlight w:val="none"/>
        </w:rPr>
      </w:pPr>
    </w:p>
    <w:p w14:paraId="3C28E68F">
      <w:pPr>
        <w:jc w:val="center"/>
        <w:rPr>
          <w:rFonts w:hint="eastAsia" w:ascii="宋体" w:hAnsi="宋体" w:cs="宋体"/>
          <w:sz w:val="24"/>
          <w:szCs w:val="24"/>
          <w:highlight w:val="none"/>
        </w:rPr>
        <w:sectPr>
          <w:pgSz w:w="11906" w:h="16838"/>
          <w:pgMar w:top="1304" w:right="1417" w:bottom="1304" w:left="1417" w:header="851" w:footer="992" w:gutter="0"/>
          <w:cols w:space="720" w:num="1"/>
          <w:docGrid w:type="lines" w:linePitch="312" w:charSpace="0"/>
        </w:sectPr>
      </w:pPr>
    </w:p>
    <w:p w14:paraId="0821DC89">
      <w:pPr>
        <w:jc w:val="center"/>
        <w:rPr>
          <w:rFonts w:hint="eastAsia" w:ascii="宋体" w:hAnsi="宋体" w:cs="宋体"/>
          <w:sz w:val="24"/>
          <w:szCs w:val="24"/>
          <w:highlight w:val="none"/>
        </w:rPr>
      </w:pPr>
    </w:p>
    <w:p w14:paraId="16162C6B">
      <w:pPr>
        <w:jc w:val="center"/>
        <w:rPr>
          <w:rFonts w:hint="eastAsia" w:ascii="宋体" w:hAnsi="宋体" w:cs="宋体"/>
          <w:sz w:val="24"/>
          <w:szCs w:val="24"/>
          <w:highlight w:val="none"/>
        </w:rPr>
      </w:pPr>
      <w:r>
        <w:rPr>
          <w:rFonts w:hint="eastAsia" w:ascii="宋体" w:hAnsi="宋体" w:cs="宋体"/>
          <w:sz w:val="24"/>
          <w:szCs w:val="24"/>
          <w:highlight w:val="none"/>
        </w:rPr>
        <w:t>法人身份证</w:t>
      </w:r>
    </w:p>
    <w:tbl>
      <w:tblPr>
        <w:tblStyle w:val="16"/>
        <w:tblpPr w:leftFromText="180" w:rightFromText="180" w:vertAnchor="text" w:horzAnchor="page" w:tblpX="1395" w:tblpY="51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0"/>
        <w:gridCol w:w="4540"/>
      </w:tblGrid>
      <w:tr w14:paraId="43C3D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8" w:hRule="atLeast"/>
        </w:trPr>
        <w:tc>
          <w:tcPr>
            <w:tcW w:w="4540" w:type="dxa"/>
          </w:tcPr>
          <w:p w14:paraId="6BB2C4A2">
            <w:pPr>
              <w:rPr>
                <w:rFonts w:hint="eastAsia" w:ascii="宋体" w:hAnsi="宋体" w:cs="宋体"/>
                <w:sz w:val="24"/>
                <w:szCs w:val="24"/>
                <w:highlight w:val="none"/>
              </w:rPr>
            </w:pPr>
          </w:p>
        </w:tc>
        <w:tc>
          <w:tcPr>
            <w:tcW w:w="4540" w:type="dxa"/>
          </w:tcPr>
          <w:p w14:paraId="442E6ACB">
            <w:pPr>
              <w:rPr>
                <w:rFonts w:hint="eastAsia" w:ascii="宋体" w:hAnsi="宋体" w:cs="宋体"/>
                <w:sz w:val="24"/>
                <w:szCs w:val="24"/>
                <w:highlight w:val="none"/>
              </w:rPr>
            </w:pPr>
          </w:p>
        </w:tc>
      </w:tr>
    </w:tbl>
    <w:p w14:paraId="4AF47E55">
      <w:pPr>
        <w:jc w:val="center"/>
        <w:rPr>
          <w:rFonts w:hint="eastAsia" w:ascii="宋体" w:hAnsi="宋体" w:cs="宋体"/>
          <w:sz w:val="24"/>
          <w:szCs w:val="24"/>
          <w:highlight w:val="none"/>
        </w:rPr>
      </w:pPr>
    </w:p>
    <w:p w14:paraId="209F6AA8">
      <w:pPr>
        <w:jc w:val="center"/>
        <w:rPr>
          <w:rFonts w:hint="eastAsia" w:ascii="宋体" w:hAnsi="宋体" w:cs="宋体"/>
          <w:sz w:val="24"/>
          <w:szCs w:val="24"/>
          <w:highlight w:val="none"/>
        </w:rPr>
      </w:pPr>
    </w:p>
    <w:p w14:paraId="1ECB7877">
      <w:pPr>
        <w:jc w:val="center"/>
        <w:rPr>
          <w:rFonts w:hint="eastAsia" w:ascii="宋体" w:hAnsi="宋体" w:cs="宋体"/>
          <w:sz w:val="24"/>
          <w:szCs w:val="24"/>
          <w:highlight w:val="none"/>
        </w:rPr>
      </w:pPr>
    </w:p>
    <w:p w14:paraId="7ED92101">
      <w:pPr>
        <w:jc w:val="center"/>
        <w:rPr>
          <w:rFonts w:hint="eastAsia" w:ascii="宋体" w:hAnsi="宋体" w:cs="宋体"/>
          <w:sz w:val="24"/>
          <w:szCs w:val="24"/>
          <w:highlight w:val="none"/>
        </w:rPr>
      </w:pPr>
    </w:p>
    <w:p w14:paraId="6AD410E8">
      <w:pPr>
        <w:jc w:val="center"/>
        <w:rPr>
          <w:rFonts w:hint="eastAsia" w:ascii="宋体" w:hAnsi="宋体" w:cs="宋体"/>
          <w:sz w:val="24"/>
          <w:szCs w:val="24"/>
          <w:highlight w:val="none"/>
        </w:rPr>
      </w:pPr>
    </w:p>
    <w:p w14:paraId="649983B3">
      <w:pPr>
        <w:jc w:val="center"/>
        <w:rPr>
          <w:rFonts w:hint="eastAsia" w:ascii="宋体" w:hAnsi="宋体" w:cs="宋体"/>
          <w:sz w:val="24"/>
          <w:szCs w:val="24"/>
          <w:highlight w:val="none"/>
        </w:rPr>
      </w:pPr>
      <w:r>
        <w:rPr>
          <w:rFonts w:hint="eastAsia" w:ascii="宋体" w:hAnsi="宋体" w:cs="宋体"/>
          <w:sz w:val="24"/>
          <w:szCs w:val="24"/>
          <w:highlight w:val="none"/>
        </w:rPr>
        <w:t>委托代理人身份证</w:t>
      </w:r>
    </w:p>
    <w:tbl>
      <w:tblPr>
        <w:tblStyle w:val="16"/>
        <w:tblpPr w:leftFromText="180" w:rightFromText="180" w:vertAnchor="text" w:horzAnchor="page" w:tblpX="1395" w:tblpY="4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0"/>
        <w:gridCol w:w="4520"/>
      </w:tblGrid>
      <w:tr w14:paraId="06E2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8" w:hRule="atLeast"/>
        </w:trPr>
        <w:tc>
          <w:tcPr>
            <w:tcW w:w="4520" w:type="dxa"/>
          </w:tcPr>
          <w:p w14:paraId="705E47C3">
            <w:pPr>
              <w:rPr>
                <w:rFonts w:hint="eastAsia" w:ascii="宋体" w:hAnsi="宋体" w:cs="宋体"/>
                <w:sz w:val="24"/>
                <w:szCs w:val="24"/>
                <w:highlight w:val="none"/>
              </w:rPr>
            </w:pPr>
          </w:p>
        </w:tc>
        <w:tc>
          <w:tcPr>
            <w:tcW w:w="4520" w:type="dxa"/>
          </w:tcPr>
          <w:p w14:paraId="6BF3E698">
            <w:pPr>
              <w:rPr>
                <w:rFonts w:hint="eastAsia" w:ascii="宋体" w:hAnsi="宋体" w:cs="宋体"/>
                <w:sz w:val="24"/>
                <w:szCs w:val="24"/>
                <w:highlight w:val="none"/>
              </w:rPr>
            </w:pPr>
          </w:p>
        </w:tc>
      </w:tr>
    </w:tbl>
    <w:p w14:paraId="308A094C">
      <w:pPr>
        <w:ind w:firstLine="482"/>
        <w:jc w:val="center"/>
        <w:rPr>
          <w:rFonts w:hint="eastAsia" w:ascii="宋体" w:hAnsi="宋体" w:cs="宋体"/>
          <w:b/>
          <w:bCs/>
          <w:sz w:val="24"/>
          <w:szCs w:val="24"/>
          <w:highlight w:val="none"/>
        </w:rPr>
      </w:pPr>
      <w:r>
        <w:rPr>
          <w:rFonts w:hint="eastAsia" w:ascii="宋体" w:hAnsi="宋体" w:cs="宋体"/>
          <w:b/>
          <w:bCs/>
          <w:sz w:val="24"/>
          <w:szCs w:val="24"/>
          <w:highlight w:val="none"/>
        </w:rPr>
        <w:br w:type="page"/>
      </w:r>
      <w:r>
        <w:rPr>
          <w:rFonts w:hint="eastAsia" w:ascii="宋体" w:hAnsi="宋体" w:cs="宋体"/>
          <w:b/>
          <w:bCs/>
          <w:sz w:val="24"/>
          <w:szCs w:val="24"/>
          <w:highlight w:val="none"/>
        </w:rPr>
        <w:t>三、报价汇总表</w:t>
      </w:r>
    </w:p>
    <w:p w14:paraId="3A937BC8">
      <w:pPr>
        <w:spacing w:line="480" w:lineRule="auto"/>
        <w:ind w:left="240" w:hanging="240" w:hangingChars="100"/>
        <w:rPr>
          <w:rFonts w:hint="eastAsia" w:ascii="宋体" w:hAnsi="宋体" w:cs="宋体"/>
          <w:sz w:val="24"/>
          <w:szCs w:val="24"/>
          <w:highlight w:val="none"/>
          <w:u w:val="single"/>
        </w:rPr>
      </w:pPr>
      <w:r>
        <w:rPr>
          <w:rFonts w:hint="eastAsia" w:ascii="宋体" w:hAnsi="宋体" w:cs="宋体"/>
          <w:sz w:val="24"/>
          <w:szCs w:val="24"/>
          <w:highlight w:val="none"/>
        </w:rPr>
        <w:t>项目名称：</w:t>
      </w:r>
      <w:r>
        <w:rPr>
          <w:rFonts w:hint="eastAsia" w:ascii="宋体" w:hAnsi="宋体" w:cs="宋体"/>
          <w:sz w:val="22"/>
          <w:szCs w:val="22"/>
          <w:highlight w:val="none"/>
          <w:u w:val="single"/>
        </w:rPr>
        <w:t>司马煤业采煤沉陷区（1206、1207、1208、1209、1213工作面）综合治理项目</w:t>
      </w:r>
      <w:r>
        <w:rPr>
          <w:rFonts w:hint="eastAsia" w:ascii="宋体" w:hAnsi="宋体" w:cs="宋体"/>
          <w:sz w:val="22"/>
          <w:szCs w:val="22"/>
          <w:highlight w:val="none"/>
          <w:u w:val="single"/>
        </w:rPr>
        <w:t xml:space="preserve">    </w:t>
      </w:r>
    </w:p>
    <w:p w14:paraId="470072F6">
      <w:pPr>
        <w:spacing w:line="480" w:lineRule="auto"/>
        <w:rPr>
          <w:rFonts w:hint="eastAsia" w:ascii="宋体" w:hAnsi="宋体" w:cs="宋体"/>
          <w:sz w:val="24"/>
          <w:szCs w:val="24"/>
          <w:highlight w:val="none"/>
          <w:u w:val="single"/>
        </w:rPr>
      </w:pPr>
      <w:r>
        <w:rPr>
          <w:rFonts w:hint="eastAsia" w:ascii="宋体" w:hAnsi="宋体" w:cs="宋体"/>
          <w:sz w:val="24"/>
          <w:szCs w:val="24"/>
          <w:highlight w:val="none"/>
        </w:rPr>
        <w:t>谈判方名称：</w:t>
      </w:r>
      <w:r>
        <w:rPr>
          <w:rFonts w:hint="eastAsia" w:ascii="宋体" w:hAnsi="宋体" w:cs="宋体"/>
          <w:sz w:val="24"/>
          <w:szCs w:val="24"/>
          <w:highlight w:val="none"/>
          <w:u w:val="single"/>
        </w:rPr>
        <w:t xml:space="preserve">                                        </w:t>
      </w:r>
      <w:r>
        <w:rPr>
          <w:rFonts w:hint="eastAsia" w:ascii="宋体" w:hAnsi="宋体" w:cs="宋体"/>
          <w:sz w:val="24"/>
          <w:szCs w:val="24"/>
          <w:highlight w:val="none"/>
        </w:rPr>
        <w:t>（盖章）</w:t>
      </w:r>
    </w:p>
    <w:p w14:paraId="77470FE5">
      <w:pPr>
        <w:spacing w:line="480" w:lineRule="auto"/>
        <w:rPr>
          <w:rFonts w:hint="eastAsia" w:ascii="宋体" w:hAnsi="宋体" w:cs="宋体"/>
          <w:sz w:val="24"/>
          <w:szCs w:val="24"/>
          <w:highlight w:val="none"/>
          <w:u w:val="single"/>
        </w:rPr>
      </w:pPr>
      <w:r>
        <w:rPr>
          <w:rFonts w:hint="eastAsia" w:ascii="宋体" w:hAnsi="宋体" w:cs="宋体"/>
          <w:sz w:val="24"/>
          <w:szCs w:val="24"/>
          <w:highlight w:val="none"/>
        </w:rPr>
        <w:t>法定代表人或其授权委托代理人签章：</w:t>
      </w:r>
      <w:r>
        <w:rPr>
          <w:rFonts w:hint="eastAsia" w:ascii="宋体" w:hAnsi="宋体" w:cs="宋体"/>
          <w:sz w:val="24"/>
          <w:szCs w:val="24"/>
          <w:highlight w:val="none"/>
          <w:u w:val="single"/>
        </w:rPr>
        <w:t xml:space="preserve">                  </w:t>
      </w:r>
    </w:p>
    <w:tbl>
      <w:tblPr>
        <w:tblStyle w:val="16"/>
        <w:tblW w:w="0" w:type="auto"/>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9"/>
        <w:gridCol w:w="2312"/>
        <w:gridCol w:w="2156"/>
        <w:gridCol w:w="2598"/>
      </w:tblGrid>
      <w:tr w14:paraId="4C09B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exact"/>
        </w:trPr>
        <w:tc>
          <w:tcPr>
            <w:tcW w:w="1799" w:type="dxa"/>
            <w:vMerge w:val="restart"/>
            <w:vAlign w:val="center"/>
          </w:tcPr>
          <w:p w14:paraId="7C39BDCC">
            <w:pPr>
              <w:jc w:val="center"/>
              <w:rPr>
                <w:rFonts w:hint="eastAsia" w:ascii="宋体" w:hAnsi="宋体" w:cs="宋体"/>
                <w:sz w:val="24"/>
                <w:szCs w:val="24"/>
                <w:highlight w:val="none"/>
              </w:rPr>
            </w:pPr>
            <w:r>
              <w:rPr>
                <w:rFonts w:hint="eastAsia" w:ascii="宋体" w:hAnsi="宋体" w:cs="宋体"/>
                <w:sz w:val="24"/>
                <w:szCs w:val="24"/>
                <w:highlight w:val="none"/>
              </w:rPr>
              <w:t>谈判前</w:t>
            </w:r>
          </w:p>
          <w:p w14:paraId="4E3333D1">
            <w:pPr>
              <w:jc w:val="center"/>
              <w:rPr>
                <w:rFonts w:hint="eastAsia" w:ascii="宋体" w:hAnsi="宋体" w:cs="宋体"/>
                <w:sz w:val="24"/>
                <w:szCs w:val="24"/>
                <w:highlight w:val="none"/>
              </w:rPr>
            </w:pPr>
            <w:r>
              <w:rPr>
                <w:rFonts w:hint="eastAsia" w:ascii="宋体" w:hAnsi="宋体" w:cs="宋体"/>
                <w:sz w:val="24"/>
                <w:szCs w:val="24"/>
                <w:highlight w:val="none"/>
              </w:rPr>
              <w:t>基础报价</w:t>
            </w:r>
          </w:p>
        </w:tc>
        <w:tc>
          <w:tcPr>
            <w:tcW w:w="7066" w:type="dxa"/>
            <w:gridSpan w:val="3"/>
            <w:vAlign w:val="center"/>
          </w:tcPr>
          <w:p w14:paraId="1D57CABF">
            <w:pPr>
              <w:jc w:val="left"/>
              <w:rPr>
                <w:rFonts w:hint="eastAsia" w:ascii="宋体" w:hAnsi="宋体" w:cs="宋体"/>
                <w:sz w:val="24"/>
                <w:szCs w:val="24"/>
                <w:highlight w:val="none"/>
              </w:rPr>
            </w:pPr>
            <w:r>
              <w:rPr>
                <w:rFonts w:hint="eastAsia" w:ascii="宋体" w:hAnsi="宋体" w:cs="宋体"/>
                <w:sz w:val="24"/>
                <w:szCs w:val="24"/>
                <w:highlight w:val="none"/>
              </w:rPr>
              <w:t>大写：</w:t>
            </w:r>
          </w:p>
        </w:tc>
      </w:tr>
      <w:tr w14:paraId="3466E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2" w:hRule="atLeast"/>
        </w:trPr>
        <w:tc>
          <w:tcPr>
            <w:tcW w:w="1799" w:type="dxa"/>
            <w:vMerge w:val="continue"/>
            <w:vAlign w:val="center"/>
          </w:tcPr>
          <w:p w14:paraId="2AEAF9C7">
            <w:pPr>
              <w:jc w:val="center"/>
              <w:rPr>
                <w:rFonts w:hint="eastAsia" w:ascii="宋体" w:hAnsi="宋体" w:cs="宋体"/>
                <w:sz w:val="24"/>
                <w:szCs w:val="24"/>
                <w:highlight w:val="none"/>
              </w:rPr>
            </w:pPr>
          </w:p>
        </w:tc>
        <w:tc>
          <w:tcPr>
            <w:tcW w:w="7066" w:type="dxa"/>
            <w:gridSpan w:val="3"/>
            <w:vAlign w:val="center"/>
          </w:tcPr>
          <w:p w14:paraId="137D1A51">
            <w:pPr>
              <w:ind w:firstLine="560"/>
              <w:rPr>
                <w:sz w:val="28"/>
                <w:szCs w:val="28"/>
                <w:highlight w:val="none"/>
              </w:rPr>
            </w:pPr>
            <w:r>
              <w:rPr>
                <w:rFonts w:hint="eastAsia"/>
                <w:sz w:val="28"/>
                <w:szCs w:val="28"/>
                <w:highlight w:val="none"/>
              </w:rPr>
              <w:t>报价：</w:t>
            </w:r>
          </w:p>
          <w:p w14:paraId="416752CB">
            <w:pPr>
              <w:ind w:firstLine="560"/>
              <w:rPr>
                <w:color w:val="000000"/>
                <w:kern w:val="0"/>
                <w:szCs w:val="21"/>
                <w:highlight w:val="none"/>
                <w:lang w:bidi="ar"/>
              </w:rPr>
            </w:pPr>
            <w:r>
              <w:rPr>
                <w:rFonts w:hint="eastAsia"/>
                <w:sz w:val="28"/>
                <w:szCs w:val="28"/>
                <w:highlight w:val="none"/>
              </w:rPr>
              <w:t>小写：</w:t>
            </w:r>
            <w:r>
              <w:rPr>
                <w:rFonts w:hint="eastAsia"/>
                <w:sz w:val="28"/>
                <w:szCs w:val="28"/>
                <w:highlight w:val="none"/>
                <w:u w:val="single"/>
              </w:rPr>
              <w:t xml:space="preserve">          </w:t>
            </w:r>
            <w:r>
              <w:rPr>
                <w:rFonts w:hint="eastAsia" w:ascii="宋体" w:hAnsi="宋体"/>
                <w:sz w:val="28"/>
                <w:szCs w:val="28"/>
                <w:highlight w:val="none"/>
                <w:u w:val="single"/>
              </w:rPr>
              <w:t>元（不含税）</w:t>
            </w:r>
            <w:r>
              <w:rPr>
                <w:rFonts w:hint="eastAsia"/>
                <w:color w:val="000000"/>
                <w:kern w:val="0"/>
                <w:szCs w:val="21"/>
                <w:highlight w:val="none"/>
                <w:lang w:bidi="ar"/>
              </w:rPr>
              <w:t>；</w:t>
            </w:r>
          </w:p>
          <w:p w14:paraId="33E00685">
            <w:pPr>
              <w:ind w:firstLine="560"/>
              <w:rPr>
                <w:rFonts w:hint="eastAsia" w:ascii="宋体" w:hAnsi="宋体" w:cs="宋体"/>
                <w:sz w:val="24"/>
                <w:szCs w:val="24"/>
                <w:highlight w:val="none"/>
              </w:rPr>
            </w:pPr>
            <w:r>
              <w:rPr>
                <w:rFonts w:hint="eastAsia"/>
                <w:sz w:val="28"/>
                <w:szCs w:val="28"/>
                <w:highlight w:val="none"/>
              </w:rPr>
              <w:t>税率：</w:t>
            </w:r>
            <w:r>
              <w:rPr>
                <w:rFonts w:hint="eastAsia"/>
                <w:sz w:val="28"/>
                <w:szCs w:val="28"/>
                <w:highlight w:val="none"/>
                <w:u w:val="single"/>
              </w:rPr>
              <w:t xml:space="preserve">     </w:t>
            </w:r>
            <w:r>
              <w:rPr>
                <w:rFonts w:hint="eastAsia"/>
                <w:sz w:val="28"/>
                <w:szCs w:val="28"/>
                <w:highlight w:val="none"/>
              </w:rPr>
              <w:t>%</w:t>
            </w:r>
            <w:r>
              <w:rPr>
                <w:rFonts w:hint="eastAsia"/>
                <w:sz w:val="24"/>
                <w:szCs w:val="24"/>
                <w:highlight w:val="none"/>
              </w:rPr>
              <w:t xml:space="preserve">  </w:t>
            </w:r>
          </w:p>
        </w:tc>
      </w:tr>
      <w:tr w14:paraId="4C409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799" w:type="dxa"/>
            <w:vAlign w:val="center"/>
          </w:tcPr>
          <w:p w14:paraId="6BE47AE0">
            <w:pPr>
              <w:jc w:val="center"/>
              <w:rPr>
                <w:rFonts w:hint="eastAsia" w:ascii="宋体" w:hAnsi="宋体" w:cs="宋体"/>
                <w:sz w:val="24"/>
                <w:szCs w:val="24"/>
                <w:highlight w:val="none"/>
              </w:rPr>
            </w:pPr>
            <w:r>
              <w:rPr>
                <w:rFonts w:hint="eastAsia" w:ascii="宋体" w:hAnsi="宋体" w:cs="宋体"/>
                <w:sz w:val="24"/>
                <w:szCs w:val="24"/>
                <w:highlight w:val="none"/>
              </w:rPr>
              <w:t>质量标准</w:t>
            </w:r>
          </w:p>
        </w:tc>
        <w:tc>
          <w:tcPr>
            <w:tcW w:w="7066" w:type="dxa"/>
            <w:gridSpan w:val="3"/>
            <w:vAlign w:val="center"/>
          </w:tcPr>
          <w:p w14:paraId="374AD0FF">
            <w:pPr>
              <w:jc w:val="center"/>
              <w:rPr>
                <w:rFonts w:hint="eastAsia" w:ascii="宋体" w:hAnsi="宋体" w:cs="宋体"/>
                <w:sz w:val="24"/>
                <w:szCs w:val="24"/>
                <w:highlight w:val="none"/>
              </w:rPr>
            </w:pPr>
          </w:p>
        </w:tc>
      </w:tr>
      <w:tr w14:paraId="1A045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799" w:type="dxa"/>
            <w:vAlign w:val="center"/>
          </w:tcPr>
          <w:p w14:paraId="64DDCB10">
            <w:pPr>
              <w:jc w:val="center"/>
              <w:rPr>
                <w:rFonts w:hint="eastAsia" w:ascii="宋体" w:hAnsi="宋体" w:cs="宋体"/>
                <w:sz w:val="24"/>
                <w:szCs w:val="24"/>
                <w:highlight w:val="none"/>
              </w:rPr>
            </w:pPr>
            <w:r>
              <w:rPr>
                <w:rFonts w:hint="eastAsia" w:ascii="宋体" w:hAnsi="宋体" w:cs="宋体"/>
                <w:sz w:val="24"/>
                <w:szCs w:val="24"/>
                <w:highlight w:val="none"/>
              </w:rPr>
              <w:t>承诺工期</w:t>
            </w:r>
          </w:p>
        </w:tc>
        <w:tc>
          <w:tcPr>
            <w:tcW w:w="7066" w:type="dxa"/>
            <w:gridSpan w:val="3"/>
            <w:vAlign w:val="center"/>
          </w:tcPr>
          <w:p w14:paraId="2BC40519">
            <w:pPr>
              <w:rPr>
                <w:rFonts w:hint="eastAsia" w:ascii="宋体" w:hAnsi="宋体" w:cs="宋体"/>
                <w:sz w:val="24"/>
                <w:szCs w:val="24"/>
                <w:highlight w:val="none"/>
                <w:shd w:val="pct10" w:color="auto" w:fill="FFFFFF"/>
              </w:rPr>
            </w:pPr>
            <w:r>
              <w:rPr>
                <w:rFonts w:hint="eastAsia" w:ascii="宋体" w:hAnsi="宋体" w:cs="宋体"/>
                <w:sz w:val="24"/>
                <w:szCs w:val="24"/>
                <w:highlight w:val="none"/>
              </w:rPr>
              <w:t xml:space="preserve">                </w:t>
            </w:r>
          </w:p>
        </w:tc>
      </w:tr>
      <w:tr w14:paraId="365DB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99" w:type="dxa"/>
            <w:vAlign w:val="center"/>
          </w:tcPr>
          <w:p w14:paraId="32F95B98">
            <w:pPr>
              <w:jc w:val="center"/>
              <w:rPr>
                <w:rFonts w:hint="eastAsia" w:ascii="宋体" w:hAnsi="宋体" w:cs="宋体"/>
                <w:sz w:val="24"/>
                <w:szCs w:val="24"/>
                <w:highlight w:val="none"/>
              </w:rPr>
            </w:pPr>
            <w:r>
              <w:rPr>
                <w:rFonts w:hint="eastAsia" w:ascii="宋体" w:hAnsi="宋体" w:cs="宋体"/>
                <w:sz w:val="24"/>
                <w:szCs w:val="24"/>
                <w:highlight w:val="none"/>
              </w:rPr>
              <w:t>项目经理</w:t>
            </w:r>
          </w:p>
          <w:p w14:paraId="233B9E4D">
            <w:pPr>
              <w:jc w:val="center"/>
              <w:rPr>
                <w:rFonts w:hint="eastAsia" w:ascii="宋体" w:hAnsi="宋体" w:cs="宋体"/>
                <w:sz w:val="24"/>
                <w:szCs w:val="24"/>
                <w:highlight w:val="none"/>
              </w:rPr>
            </w:pPr>
            <w:r>
              <w:rPr>
                <w:rFonts w:hint="eastAsia" w:ascii="宋体" w:hAnsi="宋体" w:cs="宋体"/>
                <w:sz w:val="24"/>
                <w:szCs w:val="24"/>
                <w:highlight w:val="none"/>
              </w:rPr>
              <w:t>（建造师）</w:t>
            </w:r>
          </w:p>
        </w:tc>
        <w:tc>
          <w:tcPr>
            <w:tcW w:w="2312" w:type="dxa"/>
          </w:tcPr>
          <w:p w14:paraId="4134BFC6">
            <w:pPr>
              <w:rPr>
                <w:rFonts w:hint="eastAsia" w:ascii="宋体" w:hAnsi="宋体" w:cs="宋体"/>
                <w:sz w:val="24"/>
                <w:szCs w:val="24"/>
                <w:highlight w:val="none"/>
              </w:rPr>
            </w:pPr>
          </w:p>
        </w:tc>
        <w:tc>
          <w:tcPr>
            <w:tcW w:w="2156" w:type="dxa"/>
            <w:vAlign w:val="center"/>
          </w:tcPr>
          <w:p w14:paraId="1FADD391">
            <w:pPr>
              <w:jc w:val="center"/>
              <w:rPr>
                <w:rFonts w:hint="eastAsia" w:ascii="宋体" w:hAnsi="宋体" w:cs="宋体"/>
                <w:sz w:val="24"/>
                <w:szCs w:val="24"/>
                <w:highlight w:val="none"/>
              </w:rPr>
            </w:pPr>
            <w:r>
              <w:rPr>
                <w:rFonts w:hint="eastAsia" w:ascii="宋体" w:hAnsi="宋体" w:cs="宋体"/>
                <w:sz w:val="24"/>
                <w:szCs w:val="24"/>
                <w:highlight w:val="none"/>
              </w:rPr>
              <w:t>级别及编号</w:t>
            </w:r>
          </w:p>
        </w:tc>
        <w:tc>
          <w:tcPr>
            <w:tcW w:w="2598" w:type="dxa"/>
          </w:tcPr>
          <w:p w14:paraId="6A9A23D6">
            <w:pPr>
              <w:rPr>
                <w:rFonts w:hint="eastAsia" w:ascii="宋体" w:hAnsi="宋体" w:cs="宋体"/>
                <w:sz w:val="24"/>
                <w:szCs w:val="24"/>
                <w:highlight w:val="none"/>
              </w:rPr>
            </w:pPr>
          </w:p>
        </w:tc>
      </w:tr>
      <w:tr w14:paraId="6B57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99" w:type="dxa"/>
            <w:vAlign w:val="center"/>
          </w:tcPr>
          <w:p w14:paraId="436F0611">
            <w:pPr>
              <w:jc w:val="center"/>
              <w:rPr>
                <w:rFonts w:hint="eastAsia" w:ascii="宋体" w:hAnsi="宋体" w:cs="宋体"/>
                <w:sz w:val="24"/>
                <w:szCs w:val="24"/>
                <w:highlight w:val="none"/>
              </w:rPr>
            </w:pPr>
            <w:r>
              <w:rPr>
                <w:rFonts w:hint="eastAsia" w:ascii="宋体" w:hAnsi="宋体" w:cs="宋体"/>
                <w:sz w:val="24"/>
                <w:szCs w:val="24"/>
                <w:highlight w:val="none"/>
              </w:rPr>
              <w:t>对谈判文件的认可程度</w:t>
            </w:r>
          </w:p>
        </w:tc>
        <w:tc>
          <w:tcPr>
            <w:tcW w:w="7066" w:type="dxa"/>
            <w:gridSpan w:val="3"/>
          </w:tcPr>
          <w:p w14:paraId="1548851B">
            <w:pPr>
              <w:ind w:firstLine="2640" w:firstLineChars="1100"/>
              <w:rPr>
                <w:rFonts w:hint="eastAsia" w:ascii="宋体" w:hAnsi="宋体" w:cs="宋体"/>
                <w:sz w:val="24"/>
                <w:szCs w:val="24"/>
                <w:highlight w:val="none"/>
              </w:rPr>
            </w:pPr>
          </w:p>
          <w:p w14:paraId="1A2728DD">
            <w:pPr>
              <w:ind w:firstLine="2640" w:firstLineChars="1100"/>
              <w:rPr>
                <w:rFonts w:hint="eastAsia" w:ascii="宋体" w:hAnsi="宋体" w:cs="宋体"/>
                <w:sz w:val="24"/>
                <w:szCs w:val="24"/>
                <w:highlight w:val="none"/>
              </w:rPr>
            </w:pPr>
            <w:r>
              <w:rPr>
                <w:rFonts w:hint="eastAsia" w:ascii="宋体" w:hAnsi="宋体" w:cs="宋体"/>
                <w:sz w:val="24"/>
                <w:szCs w:val="24"/>
                <w:highlight w:val="none"/>
              </w:rPr>
              <w:t>认可</w:t>
            </w:r>
          </w:p>
        </w:tc>
      </w:tr>
      <w:tr w14:paraId="4EAE7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3" w:hRule="exact"/>
        </w:trPr>
        <w:tc>
          <w:tcPr>
            <w:tcW w:w="1799" w:type="dxa"/>
            <w:vAlign w:val="center"/>
          </w:tcPr>
          <w:p w14:paraId="1334E755">
            <w:pPr>
              <w:jc w:val="center"/>
              <w:rPr>
                <w:rFonts w:hint="eastAsia" w:ascii="宋体" w:hAnsi="宋体" w:cs="宋体"/>
                <w:sz w:val="24"/>
                <w:szCs w:val="24"/>
                <w:highlight w:val="none"/>
              </w:rPr>
            </w:pPr>
            <w:r>
              <w:rPr>
                <w:rFonts w:hint="eastAsia" w:ascii="宋体" w:hAnsi="宋体" w:cs="宋体"/>
                <w:sz w:val="24"/>
                <w:szCs w:val="24"/>
                <w:highlight w:val="none"/>
              </w:rPr>
              <w:t>第二轮报价</w:t>
            </w:r>
          </w:p>
        </w:tc>
        <w:tc>
          <w:tcPr>
            <w:tcW w:w="7066" w:type="dxa"/>
            <w:gridSpan w:val="3"/>
          </w:tcPr>
          <w:p w14:paraId="6F9B579B">
            <w:pPr>
              <w:ind w:firstLine="560" w:firstLineChars="200"/>
              <w:rPr>
                <w:sz w:val="28"/>
                <w:szCs w:val="28"/>
                <w:highlight w:val="none"/>
              </w:rPr>
            </w:pPr>
          </w:p>
          <w:p w14:paraId="357CCA33">
            <w:pPr>
              <w:ind w:firstLine="560" w:firstLineChars="200"/>
              <w:rPr>
                <w:rFonts w:hint="eastAsia" w:ascii="宋体" w:hAnsi="宋体" w:cs="宋体"/>
                <w:sz w:val="24"/>
                <w:szCs w:val="24"/>
                <w:highlight w:val="none"/>
              </w:rPr>
            </w:pPr>
            <w:r>
              <w:rPr>
                <w:rFonts w:hint="eastAsia"/>
                <w:sz w:val="28"/>
                <w:szCs w:val="28"/>
                <w:highlight w:val="none"/>
              </w:rPr>
              <w:t>不含税报价：</w:t>
            </w:r>
            <w:r>
              <w:rPr>
                <w:rFonts w:hint="eastAsia"/>
                <w:sz w:val="28"/>
                <w:szCs w:val="28"/>
                <w:highlight w:val="none"/>
                <w:u w:val="single"/>
              </w:rPr>
              <w:t xml:space="preserve">       </w:t>
            </w:r>
            <w:r>
              <w:rPr>
                <w:rFonts w:hint="eastAsia"/>
                <w:sz w:val="28"/>
                <w:szCs w:val="28"/>
                <w:highlight w:val="none"/>
              </w:rPr>
              <w:t>元 ，税率：</w:t>
            </w:r>
            <w:r>
              <w:rPr>
                <w:rFonts w:hint="eastAsia"/>
                <w:sz w:val="28"/>
                <w:szCs w:val="28"/>
                <w:highlight w:val="none"/>
                <w:u w:val="single"/>
              </w:rPr>
              <w:t xml:space="preserve">     </w:t>
            </w:r>
            <w:r>
              <w:rPr>
                <w:rFonts w:hint="eastAsia"/>
                <w:sz w:val="28"/>
                <w:szCs w:val="28"/>
                <w:highlight w:val="none"/>
              </w:rPr>
              <w:t>%</w:t>
            </w:r>
            <w:r>
              <w:rPr>
                <w:rFonts w:hint="eastAsia"/>
                <w:sz w:val="24"/>
                <w:szCs w:val="24"/>
                <w:highlight w:val="none"/>
              </w:rPr>
              <w:t xml:space="preserve">  </w:t>
            </w:r>
          </w:p>
          <w:p w14:paraId="0F65C7CB">
            <w:pPr>
              <w:rPr>
                <w:rFonts w:hint="eastAsia" w:ascii="宋体" w:hAnsi="宋体" w:cs="宋体"/>
                <w:sz w:val="24"/>
                <w:szCs w:val="24"/>
                <w:highlight w:val="none"/>
              </w:rPr>
            </w:pPr>
          </w:p>
        </w:tc>
      </w:tr>
      <w:tr w14:paraId="56274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exact"/>
        </w:trPr>
        <w:tc>
          <w:tcPr>
            <w:tcW w:w="8865" w:type="dxa"/>
            <w:gridSpan w:val="4"/>
            <w:vAlign w:val="center"/>
          </w:tcPr>
          <w:p w14:paraId="1561708B">
            <w:pPr>
              <w:rPr>
                <w:rFonts w:hint="eastAsia" w:ascii="宋体" w:hAnsi="宋体" w:cs="宋体"/>
                <w:sz w:val="24"/>
                <w:szCs w:val="24"/>
                <w:highlight w:val="none"/>
              </w:rPr>
            </w:pPr>
            <w:r>
              <w:rPr>
                <w:rFonts w:hint="eastAsia" w:ascii="宋体" w:hAnsi="宋体" w:cs="宋体"/>
                <w:sz w:val="24"/>
                <w:szCs w:val="24"/>
                <w:highlight w:val="none"/>
              </w:rPr>
              <w:t>此报价一览表内内容尽量充实。</w:t>
            </w:r>
          </w:p>
        </w:tc>
      </w:tr>
    </w:tbl>
    <w:p w14:paraId="3C725C69">
      <w:pPr>
        <w:rPr>
          <w:rFonts w:hint="eastAsia" w:ascii="宋体" w:hAnsi="宋体" w:cs="宋体"/>
          <w:sz w:val="24"/>
          <w:szCs w:val="24"/>
          <w:highlight w:val="none"/>
        </w:rPr>
      </w:pPr>
    </w:p>
    <w:p w14:paraId="0A4FFAB8">
      <w:pPr>
        <w:ind w:firstLine="482"/>
        <w:jc w:val="center"/>
        <w:rPr>
          <w:rFonts w:hint="eastAsia" w:ascii="宋体" w:hAnsi="宋体" w:cs="宋体"/>
          <w:b/>
          <w:bCs/>
          <w:sz w:val="24"/>
          <w:szCs w:val="24"/>
          <w:highlight w:val="none"/>
        </w:rPr>
      </w:pPr>
      <w:r>
        <w:rPr>
          <w:rFonts w:hint="eastAsia" w:ascii="宋体" w:hAnsi="宋体" w:cs="宋体"/>
          <w:b/>
          <w:bCs/>
          <w:sz w:val="24"/>
          <w:szCs w:val="24"/>
          <w:highlight w:val="none"/>
        </w:rPr>
        <w:br w:type="page"/>
      </w:r>
      <w:r>
        <w:rPr>
          <w:rFonts w:hint="eastAsia" w:ascii="宋体" w:hAnsi="宋体" w:cs="宋体"/>
          <w:b/>
          <w:bCs/>
          <w:sz w:val="24"/>
          <w:szCs w:val="24"/>
          <w:highlight w:val="none"/>
        </w:rPr>
        <w:t>四、最终报价单</w:t>
      </w:r>
    </w:p>
    <w:tbl>
      <w:tblPr>
        <w:tblStyle w:val="16"/>
        <w:tblpPr w:leftFromText="180" w:rightFromText="180" w:vertAnchor="text" w:horzAnchor="page" w:tblpX="1605" w:tblpY="49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7132"/>
      </w:tblGrid>
      <w:tr w14:paraId="3E13C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vAlign w:val="center"/>
          </w:tcPr>
          <w:p w14:paraId="39521EC4">
            <w:pPr>
              <w:jc w:val="center"/>
              <w:rPr>
                <w:rFonts w:hint="eastAsia" w:ascii="宋体" w:hAnsi="宋体" w:cs="宋体"/>
                <w:sz w:val="24"/>
                <w:szCs w:val="24"/>
                <w:highlight w:val="none"/>
              </w:rPr>
            </w:pPr>
            <w:r>
              <w:rPr>
                <w:rFonts w:hint="eastAsia" w:ascii="宋体" w:hAnsi="宋体" w:cs="宋体"/>
                <w:sz w:val="24"/>
                <w:szCs w:val="24"/>
                <w:highlight w:val="none"/>
              </w:rPr>
              <w:t>报价单位</w:t>
            </w:r>
          </w:p>
        </w:tc>
        <w:tc>
          <w:tcPr>
            <w:tcW w:w="7132" w:type="dxa"/>
            <w:vAlign w:val="center"/>
          </w:tcPr>
          <w:p w14:paraId="1E730857">
            <w:pPr>
              <w:jc w:val="center"/>
              <w:rPr>
                <w:rFonts w:hint="eastAsia" w:ascii="宋体" w:hAnsi="宋体" w:cs="宋体"/>
                <w:sz w:val="24"/>
                <w:szCs w:val="24"/>
                <w:highlight w:val="none"/>
              </w:rPr>
            </w:pPr>
            <w:r>
              <w:rPr>
                <w:rFonts w:hint="eastAsia" w:ascii="宋体" w:hAnsi="宋体" w:cs="宋体"/>
                <w:sz w:val="24"/>
                <w:szCs w:val="24"/>
                <w:highlight w:val="none"/>
              </w:rPr>
              <w:t>（名称并盖章）</w:t>
            </w:r>
          </w:p>
        </w:tc>
      </w:tr>
      <w:tr w14:paraId="644F2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vAlign w:val="center"/>
          </w:tcPr>
          <w:p w14:paraId="1700B6A4">
            <w:pPr>
              <w:jc w:val="center"/>
              <w:rPr>
                <w:rFonts w:hint="eastAsia" w:ascii="宋体" w:hAnsi="宋体" w:cs="宋体"/>
                <w:sz w:val="24"/>
                <w:szCs w:val="24"/>
                <w:highlight w:val="none"/>
              </w:rPr>
            </w:pPr>
            <w:r>
              <w:rPr>
                <w:rFonts w:hint="eastAsia" w:ascii="宋体" w:hAnsi="宋体" w:cs="宋体"/>
                <w:sz w:val="24"/>
                <w:szCs w:val="24"/>
                <w:highlight w:val="none"/>
              </w:rPr>
              <w:t>工程名称</w:t>
            </w:r>
          </w:p>
        </w:tc>
        <w:tc>
          <w:tcPr>
            <w:tcW w:w="7132" w:type="dxa"/>
            <w:vAlign w:val="center"/>
          </w:tcPr>
          <w:p w14:paraId="116B8161">
            <w:pPr>
              <w:jc w:val="center"/>
              <w:rPr>
                <w:rFonts w:hint="eastAsia" w:ascii="宋体" w:hAnsi="宋体" w:cs="宋体"/>
                <w:sz w:val="24"/>
                <w:szCs w:val="24"/>
                <w:highlight w:val="none"/>
                <w:u w:val="single"/>
              </w:rPr>
            </w:pPr>
            <w:r>
              <w:rPr>
                <w:rFonts w:hint="eastAsia" w:ascii="宋体" w:hAnsi="宋体" w:cs="宋体"/>
                <w:sz w:val="24"/>
                <w:szCs w:val="24"/>
                <w:highlight w:val="none"/>
                <w:u w:val="single"/>
              </w:rPr>
              <w:t>司马煤业采煤沉陷区（1206、1207、1208、1209、1213工作面）综合治理项目</w:t>
            </w:r>
          </w:p>
        </w:tc>
      </w:tr>
      <w:tr w14:paraId="71F56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0" w:hRule="atLeast"/>
        </w:trPr>
        <w:tc>
          <w:tcPr>
            <w:tcW w:w="8850" w:type="dxa"/>
            <w:gridSpan w:val="2"/>
          </w:tcPr>
          <w:p w14:paraId="4C2C9589">
            <w:pPr>
              <w:rPr>
                <w:rFonts w:hint="eastAsia" w:ascii="宋体" w:hAnsi="宋体" w:cs="宋体"/>
                <w:sz w:val="24"/>
                <w:szCs w:val="24"/>
                <w:highlight w:val="none"/>
              </w:rPr>
            </w:pPr>
          </w:p>
          <w:p w14:paraId="65719184">
            <w:pPr>
              <w:rPr>
                <w:rFonts w:hint="eastAsia" w:ascii="宋体" w:hAnsi="宋体" w:cs="宋体"/>
                <w:sz w:val="24"/>
                <w:szCs w:val="24"/>
                <w:highlight w:val="none"/>
              </w:rPr>
            </w:pPr>
          </w:p>
          <w:p w14:paraId="50E8729B">
            <w:pPr>
              <w:spacing w:line="360" w:lineRule="auto"/>
              <w:ind w:firstLine="840" w:firstLineChars="300"/>
              <w:rPr>
                <w:color w:val="000000"/>
                <w:kern w:val="0"/>
                <w:szCs w:val="21"/>
                <w:highlight w:val="none"/>
                <w:lang w:bidi="ar"/>
              </w:rPr>
            </w:pPr>
            <w:r>
              <w:rPr>
                <w:rFonts w:hint="eastAsia"/>
                <w:sz w:val="28"/>
                <w:szCs w:val="28"/>
                <w:highlight w:val="none"/>
              </w:rPr>
              <w:t>最终价：</w:t>
            </w:r>
            <w:r>
              <w:rPr>
                <w:rFonts w:hint="eastAsia"/>
                <w:sz w:val="28"/>
                <w:szCs w:val="28"/>
                <w:highlight w:val="none"/>
                <w:u w:val="single"/>
              </w:rPr>
              <w:t xml:space="preserve">              </w:t>
            </w:r>
            <w:r>
              <w:rPr>
                <w:rFonts w:hint="eastAsia" w:ascii="宋体" w:hAnsi="宋体"/>
                <w:sz w:val="28"/>
                <w:szCs w:val="28"/>
                <w:highlight w:val="none"/>
                <w:u w:val="single"/>
              </w:rPr>
              <w:t>元（不含税）</w:t>
            </w:r>
            <w:r>
              <w:rPr>
                <w:rFonts w:hint="eastAsia"/>
                <w:color w:val="000000"/>
                <w:kern w:val="0"/>
                <w:szCs w:val="21"/>
                <w:highlight w:val="none"/>
                <w:lang w:bidi="ar"/>
              </w:rPr>
              <w:t>；</w:t>
            </w:r>
          </w:p>
          <w:p w14:paraId="0081959B">
            <w:pPr>
              <w:spacing w:line="360" w:lineRule="auto"/>
              <w:ind w:firstLine="840" w:firstLineChars="300"/>
              <w:rPr>
                <w:rFonts w:hint="eastAsia" w:ascii="宋体" w:hAnsi="宋体"/>
                <w:sz w:val="28"/>
                <w:szCs w:val="28"/>
                <w:highlight w:val="none"/>
              </w:rPr>
            </w:pPr>
            <w:r>
              <w:rPr>
                <w:rFonts w:hint="eastAsia"/>
                <w:sz w:val="28"/>
                <w:szCs w:val="28"/>
                <w:highlight w:val="none"/>
              </w:rPr>
              <w:t>税率：</w:t>
            </w:r>
            <w:r>
              <w:rPr>
                <w:rFonts w:hint="eastAsia"/>
                <w:sz w:val="28"/>
                <w:szCs w:val="28"/>
                <w:highlight w:val="none"/>
                <w:u w:val="single"/>
              </w:rPr>
              <w:t xml:space="preserve">     </w:t>
            </w:r>
            <w:r>
              <w:rPr>
                <w:rFonts w:hint="eastAsia"/>
                <w:sz w:val="28"/>
                <w:szCs w:val="28"/>
                <w:highlight w:val="none"/>
              </w:rPr>
              <w:t>%</w:t>
            </w:r>
            <w:r>
              <w:rPr>
                <w:rFonts w:hint="eastAsia"/>
                <w:sz w:val="24"/>
                <w:szCs w:val="24"/>
                <w:highlight w:val="none"/>
              </w:rPr>
              <w:t xml:space="preserve">  。</w:t>
            </w:r>
          </w:p>
          <w:p w14:paraId="06550100">
            <w:pPr>
              <w:pStyle w:val="46"/>
              <w:jc w:val="left"/>
              <w:rPr>
                <w:rFonts w:hint="eastAsia" w:ascii="宋体" w:hAnsi="宋体"/>
                <w:sz w:val="28"/>
                <w:szCs w:val="28"/>
                <w:highlight w:val="none"/>
                <w:u w:val="single"/>
              </w:rPr>
            </w:pPr>
          </w:p>
          <w:p w14:paraId="06141E7E">
            <w:pPr>
              <w:pStyle w:val="46"/>
              <w:jc w:val="left"/>
              <w:rPr>
                <w:rFonts w:hint="eastAsia" w:ascii="宋体" w:hAnsi="宋体"/>
                <w:sz w:val="28"/>
                <w:szCs w:val="28"/>
                <w:highlight w:val="none"/>
                <w:u w:val="single"/>
              </w:rPr>
            </w:pPr>
          </w:p>
          <w:p w14:paraId="4CE27D4E">
            <w:pPr>
              <w:widowControl/>
              <w:spacing w:line="400" w:lineRule="exact"/>
              <w:ind w:left="150" w:firstLine="480"/>
              <w:jc w:val="left"/>
              <w:rPr>
                <w:rFonts w:hint="eastAsia" w:ascii="宋体" w:hAnsi="宋体" w:cs="宋体"/>
                <w:sz w:val="24"/>
                <w:szCs w:val="24"/>
                <w:highlight w:val="none"/>
              </w:rPr>
            </w:pPr>
          </w:p>
          <w:p w14:paraId="27EDF660">
            <w:pPr>
              <w:widowControl/>
              <w:spacing w:line="400" w:lineRule="exact"/>
              <w:ind w:left="150" w:firstLine="480"/>
              <w:jc w:val="left"/>
              <w:rPr>
                <w:rFonts w:hint="eastAsia" w:ascii="宋体" w:hAnsi="宋体" w:cs="宋体"/>
                <w:sz w:val="24"/>
                <w:szCs w:val="24"/>
                <w:highlight w:val="none"/>
              </w:rPr>
            </w:pPr>
          </w:p>
          <w:p w14:paraId="6F118B80">
            <w:pPr>
              <w:widowControl/>
              <w:spacing w:line="400" w:lineRule="exact"/>
              <w:ind w:left="150" w:firstLine="480"/>
              <w:jc w:val="left"/>
              <w:rPr>
                <w:rFonts w:hint="eastAsia" w:ascii="宋体" w:hAnsi="宋体" w:cs="宋体"/>
                <w:sz w:val="24"/>
                <w:szCs w:val="24"/>
                <w:highlight w:val="none"/>
              </w:rPr>
            </w:pPr>
          </w:p>
          <w:p w14:paraId="0F21AA69">
            <w:pPr>
              <w:widowControl/>
              <w:spacing w:line="400" w:lineRule="exact"/>
              <w:ind w:left="150" w:firstLine="480"/>
              <w:jc w:val="left"/>
              <w:rPr>
                <w:rFonts w:hint="eastAsia" w:ascii="宋体" w:hAnsi="宋体" w:cs="宋体"/>
                <w:sz w:val="24"/>
                <w:szCs w:val="24"/>
                <w:highlight w:val="none"/>
              </w:rPr>
            </w:pPr>
          </w:p>
          <w:p w14:paraId="199329D5">
            <w:pPr>
              <w:widowControl/>
              <w:spacing w:line="400" w:lineRule="exact"/>
              <w:ind w:left="150" w:firstLine="480"/>
              <w:jc w:val="left"/>
              <w:rPr>
                <w:rFonts w:hint="eastAsia" w:ascii="宋体" w:hAnsi="宋体" w:cs="宋体"/>
                <w:sz w:val="24"/>
                <w:szCs w:val="24"/>
                <w:highlight w:val="none"/>
              </w:rPr>
            </w:pPr>
          </w:p>
          <w:p w14:paraId="3DB87FE2">
            <w:pPr>
              <w:widowControl/>
              <w:spacing w:line="400" w:lineRule="exact"/>
              <w:ind w:left="150" w:firstLine="480"/>
              <w:jc w:val="left"/>
              <w:rPr>
                <w:rFonts w:hint="eastAsia" w:ascii="宋体" w:hAnsi="宋体" w:cs="宋体"/>
                <w:sz w:val="24"/>
                <w:szCs w:val="24"/>
                <w:highlight w:val="none"/>
              </w:rPr>
            </w:pPr>
          </w:p>
          <w:p w14:paraId="6A0EE115">
            <w:pPr>
              <w:widowControl/>
              <w:spacing w:line="400" w:lineRule="exact"/>
              <w:ind w:left="150" w:firstLine="480"/>
              <w:jc w:val="left"/>
              <w:rPr>
                <w:rFonts w:hint="eastAsia" w:ascii="宋体" w:hAnsi="宋体" w:cs="宋体"/>
                <w:sz w:val="24"/>
                <w:szCs w:val="24"/>
                <w:highlight w:val="none"/>
              </w:rPr>
            </w:pPr>
          </w:p>
          <w:p w14:paraId="57DDD69E">
            <w:pPr>
              <w:widowControl/>
              <w:spacing w:line="400" w:lineRule="exact"/>
              <w:ind w:left="150" w:firstLine="480"/>
              <w:jc w:val="left"/>
              <w:rPr>
                <w:rFonts w:hint="eastAsia" w:ascii="宋体" w:hAnsi="宋体" w:cs="宋体"/>
                <w:sz w:val="24"/>
                <w:szCs w:val="24"/>
                <w:highlight w:val="none"/>
              </w:rPr>
            </w:pPr>
          </w:p>
          <w:p w14:paraId="747F4C21">
            <w:pPr>
              <w:widowControl/>
              <w:spacing w:line="400" w:lineRule="exact"/>
              <w:ind w:left="150" w:firstLine="480"/>
              <w:jc w:val="left"/>
              <w:rPr>
                <w:rFonts w:hint="eastAsia" w:ascii="宋体" w:hAnsi="宋体" w:cs="宋体"/>
                <w:sz w:val="24"/>
                <w:szCs w:val="24"/>
                <w:highlight w:val="none"/>
              </w:rPr>
            </w:pPr>
          </w:p>
          <w:p w14:paraId="52987AEF">
            <w:pPr>
              <w:widowControl/>
              <w:spacing w:line="400" w:lineRule="exact"/>
              <w:ind w:left="150" w:firstLine="480"/>
              <w:jc w:val="left"/>
              <w:rPr>
                <w:rFonts w:hint="eastAsia" w:ascii="宋体" w:hAnsi="宋体" w:cs="宋体"/>
                <w:sz w:val="24"/>
                <w:szCs w:val="24"/>
                <w:highlight w:val="none"/>
              </w:rPr>
            </w:pPr>
          </w:p>
          <w:p w14:paraId="3EB100DC">
            <w:pPr>
              <w:widowControl/>
              <w:spacing w:line="400" w:lineRule="exact"/>
              <w:ind w:left="150" w:firstLine="480"/>
              <w:jc w:val="left"/>
              <w:rPr>
                <w:rFonts w:hint="eastAsia" w:ascii="宋体" w:hAnsi="宋体" w:cs="宋体"/>
                <w:sz w:val="24"/>
                <w:szCs w:val="24"/>
                <w:highlight w:val="none"/>
              </w:rPr>
            </w:pPr>
          </w:p>
          <w:p w14:paraId="277AD030">
            <w:pPr>
              <w:widowControl/>
              <w:spacing w:line="400" w:lineRule="exact"/>
              <w:ind w:left="150" w:firstLine="480"/>
              <w:jc w:val="left"/>
              <w:rPr>
                <w:rFonts w:hint="eastAsia" w:ascii="宋体" w:hAnsi="宋体" w:cs="宋体"/>
                <w:sz w:val="24"/>
                <w:szCs w:val="24"/>
                <w:highlight w:val="none"/>
              </w:rPr>
            </w:pPr>
          </w:p>
          <w:p w14:paraId="2D919A3B">
            <w:pPr>
              <w:pStyle w:val="14"/>
              <w:ind w:firstLine="240"/>
              <w:rPr>
                <w:rFonts w:hint="eastAsia" w:ascii="宋体" w:hAnsi="宋体" w:cs="宋体"/>
                <w:sz w:val="24"/>
                <w:highlight w:val="none"/>
              </w:rPr>
            </w:pPr>
          </w:p>
          <w:p w14:paraId="45D68646">
            <w:pPr>
              <w:pStyle w:val="15"/>
              <w:ind w:firstLine="0" w:firstLineChars="0"/>
              <w:rPr>
                <w:rFonts w:hint="eastAsia" w:hAnsi="宋体" w:cs="宋体"/>
                <w:sz w:val="24"/>
                <w:szCs w:val="24"/>
                <w:highlight w:val="none"/>
              </w:rPr>
            </w:pPr>
          </w:p>
          <w:p w14:paraId="51EA1826">
            <w:pPr>
              <w:pStyle w:val="15"/>
              <w:ind w:firstLine="480"/>
              <w:rPr>
                <w:rFonts w:hint="eastAsia" w:hAnsi="宋体" w:cs="宋体"/>
                <w:sz w:val="24"/>
                <w:szCs w:val="24"/>
                <w:highlight w:val="none"/>
              </w:rPr>
            </w:pPr>
          </w:p>
          <w:p w14:paraId="1CAD5927">
            <w:pPr>
              <w:ind w:firstLine="4560" w:firstLineChars="1900"/>
              <w:rPr>
                <w:rFonts w:hint="eastAsia" w:ascii="宋体" w:hAnsi="宋体" w:cs="宋体"/>
                <w:sz w:val="24"/>
                <w:szCs w:val="24"/>
                <w:highlight w:val="none"/>
              </w:rPr>
            </w:pPr>
            <w:r>
              <w:rPr>
                <w:rFonts w:hint="eastAsia" w:ascii="宋体" w:hAnsi="宋体" w:cs="宋体"/>
                <w:sz w:val="24"/>
                <w:szCs w:val="24"/>
                <w:highlight w:val="none"/>
              </w:rPr>
              <w:t>委托代理人：</w:t>
            </w:r>
          </w:p>
          <w:p w14:paraId="4141DD7F">
            <w:pPr>
              <w:rPr>
                <w:rFonts w:hint="eastAsia" w:ascii="宋体" w:hAnsi="宋体" w:cs="宋体"/>
                <w:sz w:val="24"/>
                <w:szCs w:val="24"/>
                <w:highlight w:val="none"/>
              </w:rPr>
            </w:pPr>
            <w:r>
              <w:rPr>
                <w:rFonts w:hint="eastAsia" w:ascii="宋体" w:hAnsi="宋体" w:cs="宋体"/>
                <w:sz w:val="24"/>
                <w:szCs w:val="24"/>
                <w:highlight w:val="none"/>
              </w:rPr>
              <w:t xml:space="preserve">                                  </w:t>
            </w:r>
          </w:p>
          <w:p w14:paraId="16DB310C">
            <w:pPr>
              <w:ind w:firstLine="4560" w:firstLineChars="1900"/>
              <w:rPr>
                <w:rFonts w:hint="eastAsia" w:ascii="宋体" w:hAnsi="宋体" w:cs="宋体"/>
                <w:sz w:val="24"/>
                <w:szCs w:val="24"/>
                <w:highlight w:val="none"/>
              </w:rPr>
            </w:pPr>
            <w:r>
              <w:rPr>
                <w:rFonts w:hint="eastAsia" w:ascii="宋体" w:hAnsi="宋体" w:cs="宋体"/>
                <w:sz w:val="24"/>
                <w:szCs w:val="24"/>
                <w:highlight w:val="none"/>
              </w:rPr>
              <w:t>日  期：</w:t>
            </w:r>
          </w:p>
        </w:tc>
      </w:tr>
    </w:tbl>
    <w:p w14:paraId="6D715E4E">
      <w:pPr>
        <w:ind w:firstLine="482"/>
        <w:rPr>
          <w:rFonts w:hint="eastAsia" w:ascii="宋体" w:hAnsi="宋体" w:cs="宋体"/>
          <w:b/>
          <w:bCs/>
          <w:sz w:val="24"/>
          <w:szCs w:val="24"/>
          <w:highlight w:val="none"/>
        </w:rPr>
      </w:pPr>
    </w:p>
    <w:p w14:paraId="313BC30F">
      <w:pPr>
        <w:ind w:firstLine="241" w:firstLineChars="100"/>
        <w:rPr>
          <w:rFonts w:hint="eastAsia" w:ascii="宋体" w:hAnsi="宋体" w:cs="宋体"/>
          <w:b/>
          <w:bCs/>
          <w:sz w:val="24"/>
          <w:szCs w:val="24"/>
          <w:highlight w:val="none"/>
        </w:rPr>
      </w:pPr>
    </w:p>
    <w:p w14:paraId="5CB6DF81">
      <w:pPr>
        <w:ind w:firstLine="211" w:firstLineChars="100"/>
        <w:rPr>
          <w:rFonts w:hint="eastAsia" w:ascii="宋体" w:hAnsi="宋体" w:cs="宋体"/>
          <w:b/>
          <w:bCs/>
          <w:szCs w:val="21"/>
          <w:highlight w:val="none"/>
        </w:rPr>
      </w:pPr>
      <w:r>
        <w:rPr>
          <w:rFonts w:hint="eastAsia" w:ascii="宋体" w:hAnsi="宋体" w:cs="宋体"/>
          <w:b/>
          <w:bCs/>
          <w:szCs w:val="21"/>
          <w:highlight w:val="none"/>
        </w:rPr>
        <w:t>备注：此表只用盖章及填写工程名称，最终报价由委托代理人现场填写、确认。</w:t>
      </w:r>
    </w:p>
    <w:p w14:paraId="6EA93585">
      <w:pPr>
        <w:spacing w:line="480" w:lineRule="auto"/>
        <w:jc w:val="left"/>
        <w:rPr>
          <w:rFonts w:hint="eastAsia" w:ascii="宋体" w:hAnsi="宋体" w:cs="宋体"/>
          <w:sz w:val="24"/>
          <w:szCs w:val="24"/>
          <w:highlight w:val="none"/>
        </w:rPr>
      </w:pPr>
      <w:r>
        <w:rPr>
          <w:rFonts w:hint="eastAsia" w:ascii="宋体" w:hAnsi="宋体" w:cs="宋体"/>
          <w:sz w:val="24"/>
          <w:szCs w:val="24"/>
          <w:highlight w:val="none"/>
        </w:rPr>
        <w:br w:type="page"/>
      </w:r>
      <w:r>
        <w:rPr>
          <w:rFonts w:hint="eastAsia" w:ascii="宋体" w:hAnsi="宋体" w:cs="宋体"/>
          <w:sz w:val="24"/>
          <w:szCs w:val="24"/>
          <w:highlight w:val="none"/>
        </w:rPr>
        <w:t>附件:</w:t>
      </w:r>
    </w:p>
    <w:p w14:paraId="6C773177">
      <w:pPr>
        <w:pStyle w:val="14"/>
        <w:ind w:firstLine="240"/>
        <w:rPr>
          <w:rFonts w:hint="eastAsia" w:ascii="宋体" w:hAnsi="宋体" w:cs="宋体"/>
          <w:sz w:val="24"/>
          <w:highlight w:val="none"/>
        </w:rPr>
      </w:pPr>
    </w:p>
    <w:p w14:paraId="33B18FB4">
      <w:pPr>
        <w:spacing w:line="480" w:lineRule="auto"/>
        <w:ind w:firstLine="723"/>
        <w:jc w:val="center"/>
        <w:rPr>
          <w:rFonts w:hint="eastAsia" w:ascii="宋体" w:hAnsi="宋体" w:cs="宋体"/>
          <w:b/>
          <w:sz w:val="36"/>
          <w:szCs w:val="36"/>
          <w:highlight w:val="none"/>
        </w:rPr>
      </w:pPr>
      <w:r>
        <w:rPr>
          <w:rFonts w:hint="eastAsia" w:ascii="宋体" w:hAnsi="宋体" w:cs="宋体"/>
          <w:b/>
          <w:sz w:val="36"/>
          <w:szCs w:val="36"/>
          <w:highlight w:val="none"/>
        </w:rPr>
        <w:t>邀 请 回 复</w:t>
      </w:r>
    </w:p>
    <w:p w14:paraId="3DE2AE67">
      <w:pPr>
        <w:spacing w:line="480" w:lineRule="auto"/>
        <w:ind w:firstLine="480" w:firstLineChars="200"/>
        <w:rPr>
          <w:rFonts w:hint="eastAsia" w:ascii="宋体" w:hAnsi="宋体" w:cs="宋体"/>
          <w:sz w:val="24"/>
          <w:szCs w:val="24"/>
          <w:highlight w:val="none"/>
        </w:rPr>
      </w:pPr>
    </w:p>
    <w:p w14:paraId="3C49803B">
      <w:pPr>
        <w:spacing w:line="48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悉收到</w:t>
      </w:r>
      <w:r>
        <w:rPr>
          <w:rFonts w:hint="eastAsia" w:ascii="宋体" w:hAnsi="宋体" w:cs="宋体"/>
          <w:sz w:val="24"/>
          <w:szCs w:val="24"/>
          <w:highlight w:val="none"/>
          <w:u w:val="single"/>
        </w:rPr>
        <w:t xml:space="preserve">  山西潞安工程有限公司  </w:t>
      </w:r>
      <w:r>
        <w:rPr>
          <w:rFonts w:hint="eastAsia" w:ascii="宋体" w:hAnsi="宋体" w:cs="宋体"/>
          <w:sz w:val="24"/>
          <w:szCs w:val="24"/>
          <w:highlight w:val="none"/>
        </w:rPr>
        <w:t>的关于</w:t>
      </w:r>
      <w:r>
        <w:rPr>
          <w:rFonts w:hint="eastAsia" w:ascii="宋体" w:hAnsi="宋体" w:cs="宋体"/>
          <w:sz w:val="24"/>
          <w:szCs w:val="24"/>
          <w:highlight w:val="none"/>
          <w:u w:val="single"/>
        </w:rPr>
        <w:t>司马煤业采煤沉陷区（1206、1207、1208、1209、1213工作面）综合治理项目</w:t>
      </w:r>
      <w:r>
        <w:rPr>
          <w:rFonts w:hint="eastAsia" w:ascii="宋体" w:hAnsi="宋体" w:cs="宋体"/>
          <w:sz w:val="24"/>
          <w:szCs w:val="24"/>
          <w:highlight w:val="none"/>
          <w:u w:val="single"/>
          <w:lang w:eastAsia="zh-CN"/>
        </w:rPr>
        <w:t>（</w:t>
      </w:r>
      <w:r>
        <w:rPr>
          <w:rFonts w:hint="eastAsia" w:ascii="宋体" w:hAnsi="宋体" w:cs="宋体"/>
          <w:sz w:val="24"/>
          <w:szCs w:val="24"/>
          <w:highlight w:val="none"/>
          <w:u w:val="single"/>
          <w:lang w:val="en-US" w:eastAsia="zh-CN"/>
        </w:rPr>
        <w:t>土方）</w:t>
      </w:r>
      <w:r>
        <w:rPr>
          <w:rFonts w:hint="eastAsia" w:ascii="宋体" w:hAnsi="宋体" w:cs="宋体"/>
          <w:sz w:val="24"/>
          <w:szCs w:val="24"/>
          <w:highlight w:val="none"/>
        </w:rPr>
        <w:t>工程的谈判文件（电子版），经仔细阅读和考察，我单位</w:t>
      </w:r>
      <w:r>
        <w:rPr>
          <w:rFonts w:hint="eastAsia" w:ascii="宋体" w:hAnsi="宋体" w:cs="宋体"/>
          <w:sz w:val="24"/>
          <w:szCs w:val="24"/>
          <w:highlight w:val="none"/>
          <w:u w:val="single"/>
        </w:rPr>
        <w:t xml:space="preserve">                </w:t>
      </w:r>
      <w:r>
        <w:rPr>
          <w:rFonts w:hint="eastAsia" w:ascii="宋体" w:hAnsi="宋体" w:cs="宋体"/>
          <w:sz w:val="24"/>
          <w:szCs w:val="24"/>
          <w:highlight w:val="none"/>
        </w:rPr>
        <w:t>意愿参加贵单位于</w:t>
      </w:r>
      <w:r>
        <w:rPr>
          <w:rFonts w:hint="eastAsia" w:ascii="宋体" w:hAnsi="宋体" w:cs="宋体"/>
          <w:sz w:val="24"/>
          <w:szCs w:val="24"/>
          <w:highlight w:val="none"/>
          <w:u w:val="single"/>
        </w:rPr>
        <w:t>2026</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9</w:t>
      </w:r>
      <w:r>
        <w:rPr>
          <w:rFonts w:hint="eastAsia" w:ascii="宋体" w:hAnsi="宋体" w:cs="宋体"/>
          <w:sz w:val="24"/>
          <w:szCs w:val="24"/>
          <w:highlight w:val="none"/>
        </w:rPr>
        <w:t>月</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r>
        <w:rPr>
          <w:rFonts w:hint="eastAsia" w:ascii="宋体" w:hAnsi="宋体" w:cs="宋体"/>
          <w:sz w:val="24"/>
          <w:szCs w:val="24"/>
          <w:highlight w:val="none"/>
        </w:rPr>
        <w:t>举行的</w:t>
      </w:r>
      <w:r>
        <w:rPr>
          <w:rFonts w:hint="eastAsia" w:ascii="宋体" w:hAnsi="宋体" w:cs="宋体"/>
          <w:sz w:val="24"/>
          <w:szCs w:val="24"/>
          <w:highlight w:val="none"/>
          <w:u w:val="single"/>
        </w:rPr>
        <w:t>司马煤业采煤沉陷区（1206、1207、1208、1209、1213工作面）综合治理项目</w:t>
      </w:r>
      <w:r>
        <w:rPr>
          <w:rFonts w:hint="eastAsia" w:ascii="宋体" w:hAnsi="宋体" w:cs="宋体"/>
          <w:sz w:val="24"/>
          <w:szCs w:val="24"/>
          <w:highlight w:val="none"/>
          <w:u w:val="single"/>
          <w:lang w:eastAsia="zh-CN"/>
        </w:rPr>
        <w:t>（</w:t>
      </w:r>
      <w:r>
        <w:rPr>
          <w:rFonts w:hint="eastAsia" w:ascii="宋体" w:hAnsi="宋体" w:cs="宋体"/>
          <w:sz w:val="24"/>
          <w:szCs w:val="24"/>
          <w:highlight w:val="none"/>
          <w:u w:val="single"/>
          <w:lang w:val="en-US" w:eastAsia="zh-CN"/>
        </w:rPr>
        <w:t>土方）</w:t>
      </w:r>
      <w:r>
        <w:rPr>
          <w:rFonts w:hint="eastAsia" w:ascii="宋体" w:hAnsi="宋体" w:cs="宋体"/>
          <w:sz w:val="24"/>
          <w:szCs w:val="24"/>
          <w:highlight w:val="none"/>
        </w:rPr>
        <w:t>工程谈判，并保证按文件要求准备相应资料如期参加。</w:t>
      </w:r>
    </w:p>
    <w:p w14:paraId="6AC936F7">
      <w:pPr>
        <w:spacing w:line="480"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特此告知。</w:t>
      </w:r>
    </w:p>
    <w:p w14:paraId="444E9246">
      <w:pPr>
        <w:pStyle w:val="14"/>
        <w:ind w:firstLine="240"/>
        <w:rPr>
          <w:rFonts w:hint="eastAsia" w:ascii="宋体" w:hAnsi="宋体" w:cs="宋体"/>
          <w:sz w:val="24"/>
          <w:highlight w:val="none"/>
        </w:rPr>
      </w:pPr>
    </w:p>
    <w:p w14:paraId="154E5AAE">
      <w:pPr>
        <w:pStyle w:val="15"/>
        <w:ind w:firstLine="420"/>
        <w:rPr>
          <w:highlight w:val="none"/>
        </w:rPr>
      </w:pPr>
    </w:p>
    <w:p w14:paraId="79F9711E">
      <w:pPr>
        <w:spacing w:line="8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单  位：</w:t>
      </w:r>
    </w:p>
    <w:p w14:paraId="717576AB">
      <w:pPr>
        <w:spacing w:line="8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委托代理人：</w:t>
      </w:r>
    </w:p>
    <w:p w14:paraId="4256782E">
      <w:pPr>
        <w:spacing w:line="8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联系方式：</w:t>
      </w:r>
    </w:p>
    <w:p w14:paraId="0A4D5282">
      <w:pPr>
        <w:spacing w:line="8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日  期：</w:t>
      </w:r>
    </w:p>
    <w:p w14:paraId="5362F7E1">
      <w:pPr>
        <w:spacing w:line="8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注：邀请回复直接在邮箱中回复，不需另附word、PDF等文本，本附件在提交报价文件时可不用提交。</w:t>
      </w:r>
    </w:p>
    <w:p w14:paraId="16CC447D">
      <w:pPr>
        <w:spacing w:line="560" w:lineRule="exact"/>
        <w:rPr>
          <w:rFonts w:hint="eastAsia" w:ascii="宋体" w:hAnsi="宋体" w:cs="宋体"/>
          <w:sz w:val="24"/>
          <w:szCs w:val="24"/>
          <w:highlight w:val="none"/>
        </w:rPr>
      </w:pPr>
    </w:p>
    <w:p w14:paraId="356C2968">
      <w:pPr>
        <w:pStyle w:val="14"/>
        <w:ind w:firstLine="240"/>
        <w:rPr>
          <w:rFonts w:hint="eastAsia" w:ascii="宋体" w:hAnsi="宋体" w:cs="宋体"/>
          <w:sz w:val="24"/>
          <w:highlight w:val="none"/>
        </w:rPr>
      </w:pPr>
    </w:p>
    <w:p w14:paraId="117D44E3">
      <w:pPr>
        <w:pStyle w:val="15"/>
        <w:ind w:firstLine="480"/>
        <w:rPr>
          <w:rFonts w:hint="eastAsia" w:hAnsi="宋体" w:cs="宋体"/>
          <w:sz w:val="24"/>
          <w:szCs w:val="24"/>
          <w:highlight w:val="none"/>
        </w:rPr>
      </w:pPr>
    </w:p>
    <w:p w14:paraId="0DC88498">
      <w:pPr>
        <w:pStyle w:val="15"/>
        <w:ind w:firstLine="480"/>
        <w:rPr>
          <w:rFonts w:hint="eastAsia" w:hAnsi="宋体" w:cs="宋体"/>
          <w:sz w:val="24"/>
          <w:szCs w:val="24"/>
          <w:highlight w:val="none"/>
        </w:rPr>
      </w:pPr>
    </w:p>
    <w:p w14:paraId="609383AC">
      <w:pPr>
        <w:pStyle w:val="15"/>
        <w:ind w:firstLine="480"/>
        <w:rPr>
          <w:rFonts w:hint="eastAsia" w:hAnsi="宋体" w:cs="宋体"/>
          <w:sz w:val="24"/>
          <w:szCs w:val="24"/>
          <w:highlight w:val="none"/>
        </w:rPr>
      </w:pPr>
    </w:p>
    <w:p w14:paraId="162F5021">
      <w:pPr>
        <w:pStyle w:val="15"/>
        <w:ind w:firstLine="480"/>
        <w:rPr>
          <w:rFonts w:hint="eastAsia" w:hAnsi="宋体" w:cs="宋体"/>
          <w:sz w:val="24"/>
          <w:szCs w:val="24"/>
          <w:highlight w:val="none"/>
        </w:rPr>
      </w:pPr>
    </w:p>
    <w:p w14:paraId="3021B205">
      <w:pPr>
        <w:pStyle w:val="15"/>
        <w:ind w:firstLine="480"/>
        <w:rPr>
          <w:rFonts w:hint="eastAsia" w:hAnsi="宋体" w:cs="宋体"/>
          <w:sz w:val="24"/>
          <w:szCs w:val="24"/>
          <w:highlight w:val="none"/>
        </w:rPr>
      </w:pPr>
    </w:p>
    <w:p w14:paraId="29F95599">
      <w:pPr>
        <w:pStyle w:val="46"/>
        <w:rPr>
          <w:sz w:val="28"/>
          <w:szCs w:val="28"/>
          <w:highlight w:val="none"/>
        </w:rPr>
      </w:pPr>
      <w:r>
        <w:rPr>
          <w:rFonts w:hint="eastAsia"/>
          <w:sz w:val="28"/>
          <w:szCs w:val="28"/>
          <w:highlight w:val="none"/>
        </w:rPr>
        <w:t>附表1：</w:t>
      </w:r>
    </w:p>
    <w:tbl>
      <w:tblPr>
        <w:tblStyle w:val="16"/>
        <w:tblW w:w="5235" w:type="pct"/>
        <w:jc w:val="center"/>
        <w:tblLayout w:type="autofit"/>
        <w:tblCellMar>
          <w:top w:w="0" w:type="dxa"/>
          <w:left w:w="108" w:type="dxa"/>
          <w:bottom w:w="0" w:type="dxa"/>
          <w:right w:w="108" w:type="dxa"/>
        </w:tblCellMar>
      </w:tblPr>
      <w:tblGrid>
        <w:gridCol w:w="875"/>
        <w:gridCol w:w="3709"/>
        <w:gridCol w:w="805"/>
        <w:gridCol w:w="70"/>
        <w:gridCol w:w="1218"/>
        <w:gridCol w:w="1445"/>
        <w:gridCol w:w="1603"/>
      </w:tblGrid>
      <w:tr w14:paraId="3FC26B62">
        <w:tblPrEx>
          <w:tblCellMar>
            <w:top w:w="0" w:type="dxa"/>
            <w:left w:w="108" w:type="dxa"/>
            <w:bottom w:w="0" w:type="dxa"/>
            <w:right w:w="108" w:type="dxa"/>
          </w:tblCellMar>
        </w:tblPrEx>
        <w:trPr>
          <w:trHeight w:val="684" w:hRule="atLeast"/>
          <w:jc w:val="center"/>
        </w:trPr>
        <w:tc>
          <w:tcPr>
            <w:tcW w:w="5000" w:type="pct"/>
            <w:gridSpan w:val="7"/>
            <w:tcBorders>
              <w:top w:val="nil"/>
              <w:left w:val="nil"/>
              <w:bottom w:val="nil"/>
              <w:right w:val="nil"/>
            </w:tcBorders>
            <w:shd w:val="clear" w:color="FFFFFF" w:fill="FFFFFF"/>
            <w:vAlign w:val="center"/>
          </w:tcPr>
          <w:p w14:paraId="63A15839">
            <w:pPr>
              <w:widowControl/>
              <w:jc w:val="center"/>
              <w:rPr>
                <w:rFonts w:hint="eastAsia" w:ascii="宋体" w:hAnsi="宋体" w:cs="宋体"/>
                <w:b/>
                <w:bCs/>
                <w:kern w:val="0"/>
                <w:sz w:val="44"/>
                <w:szCs w:val="44"/>
                <w:highlight w:val="none"/>
              </w:rPr>
            </w:pPr>
            <w:r>
              <w:rPr>
                <w:rFonts w:ascii="宋体" w:hAnsi="宋体" w:cs="宋体"/>
                <w:b/>
                <w:bCs/>
                <w:kern w:val="0"/>
                <w:sz w:val="44"/>
                <w:szCs w:val="44"/>
                <w:highlight w:val="none"/>
              </w:rPr>
              <w:t>报价明细</w:t>
            </w:r>
          </w:p>
        </w:tc>
      </w:tr>
      <w:tr w14:paraId="1287F1D5">
        <w:tblPrEx>
          <w:tblCellMar>
            <w:top w:w="0" w:type="dxa"/>
            <w:left w:w="108" w:type="dxa"/>
            <w:bottom w:w="0" w:type="dxa"/>
            <w:right w:w="108" w:type="dxa"/>
          </w:tblCellMar>
        </w:tblPrEx>
        <w:trPr>
          <w:trHeight w:val="564" w:hRule="atLeast"/>
          <w:jc w:val="center"/>
        </w:trPr>
        <w:tc>
          <w:tcPr>
            <w:tcW w:w="2771" w:type="pct"/>
            <w:gridSpan w:val="3"/>
            <w:tcBorders>
              <w:top w:val="nil"/>
              <w:left w:val="nil"/>
              <w:bottom w:val="single" w:color="auto" w:sz="4" w:space="0"/>
              <w:right w:val="nil"/>
            </w:tcBorders>
            <w:shd w:val="clear" w:color="FFFFFF" w:fill="FFFFFF"/>
            <w:vAlign w:val="bottom"/>
          </w:tcPr>
          <w:p w14:paraId="209E5EED">
            <w:pPr>
              <w:widowControl/>
              <w:jc w:val="center"/>
              <w:rPr>
                <w:rFonts w:hint="eastAsia" w:ascii="宋体" w:hAnsi="宋体" w:cs="宋体"/>
                <w:kern w:val="0"/>
                <w:sz w:val="20"/>
                <w:highlight w:val="none"/>
              </w:rPr>
            </w:pPr>
            <w:r>
              <w:rPr>
                <w:rFonts w:ascii="宋体" w:hAnsi="宋体" w:cs="宋体"/>
                <w:kern w:val="0"/>
                <w:sz w:val="20"/>
                <w:highlight w:val="none"/>
              </w:rPr>
              <w:t>项目名称：司马煤业采煤沉陷区（1206、1207、1208、1209、1213工作面）综合治理项目</w:t>
            </w:r>
          </w:p>
        </w:tc>
        <w:tc>
          <w:tcPr>
            <w:tcW w:w="662" w:type="pct"/>
            <w:gridSpan w:val="2"/>
            <w:tcBorders>
              <w:top w:val="nil"/>
              <w:left w:val="nil"/>
              <w:bottom w:val="single" w:color="auto" w:sz="4" w:space="0"/>
              <w:right w:val="nil"/>
            </w:tcBorders>
            <w:shd w:val="clear" w:color="FFFFFF" w:fill="FFFFFF"/>
            <w:vAlign w:val="bottom"/>
          </w:tcPr>
          <w:p w14:paraId="76AC7925">
            <w:pPr>
              <w:widowControl/>
              <w:jc w:val="right"/>
              <w:rPr>
                <w:rFonts w:hint="eastAsia" w:ascii="宋体" w:hAnsi="宋体" w:cs="宋体"/>
                <w:kern w:val="0"/>
                <w:sz w:val="20"/>
                <w:highlight w:val="none"/>
              </w:rPr>
            </w:pPr>
            <w:r>
              <w:rPr>
                <w:rFonts w:ascii="宋体" w:hAnsi="宋体" w:cs="宋体"/>
                <w:kern w:val="0"/>
                <w:sz w:val="20"/>
                <w:highlight w:val="none"/>
              </w:rPr>
              <w:t>　</w:t>
            </w:r>
          </w:p>
        </w:tc>
        <w:tc>
          <w:tcPr>
            <w:tcW w:w="743" w:type="pct"/>
            <w:tcBorders>
              <w:top w:val="nil"/>
              <w:left w:val="nil"/>
              <w:bottom w:val="single" w:color="auto" w:sz="4" w:space="0"/>
              <w:right w:val="nil"/>
            </w:tcBorders>
            <w:noWrap/>
            <w:vAlign w:val="bottom"/>
          </w:tcPr>
          <w:p w14:paraId="51B0727B">
            <w:pPr>
              <w:widowControl/>
              <w:jc w:val="right"/>
              <w:rPr>
                <w:rFonts w:hint="eastAsia" w:ascii="宋体" w:hAnsi="宋体" w:cs="宋体"/>
                <w:kern w:val="0"/>
                <w:sz w:val="20"/>
                <w:highlight w:val="none"/>
              </w:rPr>
            </w:pPr>
          </w:p>
        </w:tc>
        <w:tc>
          <w:tcPr>
            <w:tcW w:w="824" w:type="pct"/>
            <w:tcBorders>
              <w:top w:val="nil"/>
              <w:left w:val="nil"/>
              <w:bottom w:val="single" w:color="auto" w:sz="4" w:space="0"/>
              <w:right w:val="nil"/>
            </w:tcBorders>
            <w:noWrap/>
            <w:vAlign w:val="bottom"/>
          </w:tcPr>
          <w:p w14:paraId="7924C434">
            <w:pPr>
              <w:widowControl/>
              <w:jc w:val="left"/>
              <w:rPr>
                <w:rFonts w:hint="eastAsia" w:ascii="宋体" w:hAnsi="宋体" w:cs="宋体"/>
                <w:color w:val="000000"/>
                <w:kern w:val="0"/>
                <w:sz w:val="18"/>
                <w:szCs w:val="18"/>
                <w:highlight w:val="none"/>
              </w:rPr>
            </w:pPr>
            <w:r>
              <w:rPr>
                <w:rFonts w:ascii="宋体" w:hAnsi="宋体" w:cs="宋体"/>
                <w:color w:val="000000"/>
                <w:kern w:val="0"/>
                <w:sz w:val="18"/>
                <w:szCs w:val="18"/>
                <w:highlight w:val="none"/>
              </w:rPr>
              <w:t>金额单位：   元</w:t>
            </w:r>
          </w:p>
        </w:tc>
      </w:tr>
      <w:tr w14:paraId="4B23734B">
        <w:tblPrEx>
          <w:tblCellMar>
            <w:top w:w="0" w:type="dxa"/>
            <w:left w:w="108" w:type="dxa"/>
            <w:bottom w:w="0" w:type="dxa"/>
            <w:right w:w="108" w:type="dxa"/>
          </w:tblCellMar>
        </w:tblPrEx>
        <w:trPr>
          <w:trHeight w:val="792"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0455446F">
            <w:pPr>
              <w:widowControl/>
              <w:jc w:val="center"/>
              <w:rPr>
                <w:rFonts w:hint="eastAsia" w:ascii="宋体" w:hAnsi="宋体" w:cs="宋体"/>
                <w:kern w:val="0"/>
                <w:sz w:val="20"/>
                <w:highlight w:val="none"/>
              </w:rPr>
            </w:pPr>
            <w:r>
              <w:rPr>
                <w:rFonts w:ascii="宋体" w:hAnsi="宋体" w:cs="宋体"/>
                <w:kern w:val="0"/>
                <w:sz w:val="20"/>
                <w:highlight w:val="none"/>
              </w:rPr>
              <w:t>序号</w:t>
            </w:r>
          </w:p>
        </w:tc>
        <w:tc>
          <w:tcPr>
            <w:tcW w:w="1907" w:type="pct"/>
            <w:tcBorders>
              <w:top w:val="single" w:color="auto" w:sz="4" w:space="0"/>
              <w:left w:val="nil"/>
              <w:bottom w:val="single" w:color="auto" w:sz="4" w:space="0"/>
              <w:right w:val="single" w:color="auto" w:sz="4" w:space="0"/>
            </w:tcBorders>
            <w:shd w:val="clear" w:color="FFFFFF" w:fill="FFFFFF"/>
            <w:vAlign w:val="center"/>
          </w:tcPr>
          <w:p w14:paraId="562F17CF">
            <w:pPr>
              <w:widowControl/>
              <w:jc w:val="center"/>
              <w:rPr>
                <w:rFonts w:hint="eastAsia" w:ascii="宋体" w:hAnsi="宋体" w:cs="宋体"/>
                <w:kern w:val="0"/>
                <w:sz w:val="20"/>
                <w:highlight w:val="none"/>
              </w:rPr>
            </w:pPr>
            <w:r>
              <w:rPr>
                <w:rFonts w:ascii="宋体" w:hAnsi="宋体" w:cs="宋体"/>
                <w:kern w:val="0"/>
                <w:sz w:val="20"/>
                <w:highlight w:val="none"/>
              </w:rPr>
              <w:t>单项名称</w:t>
            </w:r>
          </w:p>
        </w:tc>
        <w:tc>
          <w:tcPr>
            <w:tcW w:w="450" w:type="pct"/>
            <w:gridSpan w:val="2"/>
            <w:tcBorders>
              <w:top w:val="single" w:color="auto" w:sz="4" w:space="0"/>
              <w:left w:val="nil"/>
              <w:bottom w:val="single" w:color="auto" w:sz="4" w:space="0"/>
              <w:right w:val="single" w:color="auto" w:sz="4" w:space="0"/>
            </w:tcBorders>
            <w:shd w:val="clear" w:color="FFFFFF" w:fill="FFFFFF"/>
            <w:vAlign w:val="center"/>
          </w:tcPr>
          <w:p w14:paraId="67B156F5">
            <w:pPr>
              <w:widowControl/>
              <w:jc w:val="center"/>
              <w:rPr>
                <w:rFonts w:hint="eastAsia" w:ascii="宋体" w:hAnsi="宋体" w:cs="宋体"/>
                <w:kern w:val="0"/>
                <w:sz w:val="20"/>
                <w:highlight w:val="none"/>
              </w:rPr>
            </w:pPr>
            <w:r>
              <w:rPr>
                <w:rFonts w:ascii="宋体" w:hAnsi="宋体" w:cs="宋体"/>
                <w:kern w:val="0"/>
                <w:sz w:val="20"/>
                <w:highlight w:val="none"/>
              </w:rPr>
              <w:t>单位</w:t>
            </w:r>
          </w:p>
        </w:tc>
        <w:tc>
          <w:tcPr>
            <w:tcW w:w="626" w:type="pct"/>
            <w:tcBorders>
              <w:top w:val="single" w:color="auto" w:sz="4" w:space="0"/>
              <w:left w:val="nil"/>
              <w:bottom w:val="single" w:color="auto" w:sz="4" w:space="0"/>
              <w:right w:val="single" w:color="auto" w:sz="4" w:space="0"/>
            </w:tcBorders>
            <w:shd w:val="clear" w:color="FFFFFF" w:fill="FFFFFF"/>
            <w:vAlign w:val="center"/>
          </w:tcPr>
          <w:p w14:paraId="1961F163">
            <w:pPr>
              <w:widowControl/>
              <w:jc w:val="center"/>
              <w:rPr>
                <w:rFonts w:hint="eastAsia" w:ascii="宋体" w:hAnsi="宋体" w:cs="宋体"/>
                <w:kern w:val="0"/>
                <w:sz w:val="20"/>
                <w:highlight w:val="none"/>
              </w:rPr>
            </w:pPr>
            <w:r>
              <w:rPr>
                <w:rFonts w:ascii="宋体" w:hAnsi="宋体" w:cs="宋体"/>
                <w:kern w:val="0"/>
                <w:sz w:val="20"/>
                <w:highlight w:val="none"/>
              </w:rPr>
              <w:t>工程量</w:t>
            </w:r>
          </w:p>
        </w:tc>
        <w:tc>
          <w:tcPr>
            <w:tcW w:w="743" w:type="pct"/>
            <w:tcBorders>
              <w:top w:val="single" w:color="auto" w:sz="4" w:space="0"/>
              <w:left w:val="nil"/>
              <w:bottom w:val="single" w:color="auto" w:sz="4" w:space="0"/>
              <w:right w:val="single" w:color="auto" w:sz="4" w:space="0"/>
            </w:tcBorders>
            <w:shd w:val="clear" w:color="FFFFFF" w:fill="FFFFFF"/>
            <w:vAlign w:val="center"/>
          </w:tcPr>
          <w:p w14:paraId="5D762A85">
            <w:pPr>
              <w:widowControl/>
              <w:jc w:val="center"/>
              <w:rPr>
                <w:rFonts w:hint="eastAsia" w:ascii="宋体" w:hAnsi="宋体" w:cs="宋体"/>
                <w:kern w:val="0"/>
                <w:sz w:val="20"/>
                <w:highlight w:val="none"/>
              </w:rPr>
            </w:pPr>
            <w:r>
              <w:rPr>
                <w:rFonts w:ascii="宋体" w:hAnsi="宋体" w:cs="宋体"/>
                <w:kern w:val="0"/>
                <w:sz w:val="20"/>
                <w:highlight w:val="none"/>
              </w:rPr>
              <w:t>不含税综合单价</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194A1C11">
            <w:pPr>
              <w:widowControl/>
              <w:jc w:val="center"/>
              <w:rPr>
                <w:rFonts w:hint="eastAsia" w:ascii="宋体" w:hAnsi="宋体" w:cs="宋体"/>
                <w:kern w:val="0"/>
                <w:sz w:val="20"/>
                <w:highlight w:val="none"/>
              </w:rPr>
            </w:pPr>
            <w:r>
              <w:rPr>
                <w:rFonts w:ascii="宋体" w:hAnsi="宋体" w:cs="宋体"/>
                <w:kern w:val="0"/>
                <w:sz w:val="20"/>
                <w:highlight w:val="none"/>
              </w:rPr>
              <w:t>不含税合价</w:t>
            </w:r>
          </w:p>
        </w:tc>
      </w:tr>
      <w:tr w14:paraId="736811AA">
        <w:tblPrEx>
          <w:tblCellMar>
            <w:top w:w="0" w:type="dxa"/>
            <w:left w:w="108" w:type="dxa"/>
            <w:bottom w:w="0" w:type="dxa"/>
            <w:right w:w="108" w:type="dxa"/>
          </w:tblCellMar>
        </w:tblPrEx>
        <w:trPr>
          <w:trHeight w:val="570"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2A0AEA26">
            <w:pPr>
              <w:widowControl/>
              <w:jc w:val="center"/>
              <w:rPr>
                <w:rFonts w:hint="eastAsia" w:ascii="宋体" w:hAnsi="宋体" w:cs="宋体"/>
                <w:kern w:val="0"/>
                <w:sz w:val="20"/>
                <w:highlight w:val="none"/>
              </w:rPr>
            </w:pPr>
            <w:r>
              <w:rPr>
                <w:rFonts w:ascii="宋体" w:hAnsi="宋体" w:cs="宋体"/>
                <w:kern w:val="0"/>
                <w:sz w:val="20"/>
                <w:highlight w:val="none"/>
              </w:rPr>
              <w:t>1</w:t>
            </w:r>
          </w:p>
        </w:tc>
        <w:tc>
          <w:tcPr>
            <w:tcW w:w="1907" w:type="pct"/>
            <w:tcBorders>
              <w:top w:val="single" w:color="auto" w:sz="4" w:space="0"/>
              <w:left w:val="nil"/>
              <w:bottom w:val="single" w:color="auto" w:sz="4" w:space="0"/>
              <w:right w:val="single" w:color="auto" w:sz="4" w:space="0"/>
            </w:tcBorders>
            <w:shd w:val="clear" w:color="FFFFFF" w:fill="FFFFFF"/>
            <w:vAlign w:val="center"/>
          </w:tcPr>
          <w:p w14:paraId="7FC58ED7">
            <w:pPr>
              <w:widowControl/>
              <w:jc w:val="left"/>
              <w:rPr>
                <w:rFonts w:hint="eastAsia" w:ascii="宋体" w:hAnsi="宋体" w:cs="宋体"/>
                <w:kern w:val="0"/>
                <w:sz w:val="20"/>
                <w:highlight w:val="none"/>
              </w:rPr>
            </w:pPr>
            <w:r>
              <w:rPr>
                <w:rFonts w:ascii="宋体" w:hAnsi="宋体" w:cs="宋体"/>
                <w:kern w:val="0"/>
                <w:sz w:val="20"/>
                <w:highlight w:val="none"/>
              </w:rPr>
              <w:t>机械挖运土 1m3挖掘机挖装自卸汽车运土 运距0~0.5km</w:t>
            </w:r>
          </w:p>
        </w:tc>
        <w:tc>
          <w:tcPr>
            <w:tcW w:w="450" w:type="pct"/>
            <w:gridSpan w:val="2"/>
            <w:tcBorders>
              <w:top w:val="single" w:color="auto" w:sz="4" w:space="0"/>
              <w:left w:val="nil"/>
              <w:bottom w:val="single" w:color="auto" w:sz="4" w:space="0"/>
              <w:right w:val="single" w:color="auto" w:sz="4" w:space="0"/>
            </w:tcBorders>
            <w:shd w:val="clear" w:color="FFFFFF" w:fill="FFFFFF"/>
            <w:vAlign w:val="center"/>
          </w:tcPr>
          <w:p w14:paraId="5905C28B">
            <w:pPr>
              <w:widowControl/>
              <w:jc w:val="center"/>
              <w:rPr>
                <w:rFonts w:hint="eastAsia" w:ascii="宋体" w:hAnsi="宋体" w:cs="宋体"/>
                <w:kern w:val="0"/>
                <w:sz w:val="20"/>
                <w:highlight w:val="none"/>
              </w:rPr>
            </w:pPr>
            <w:r>
              <w:rPr>
                <w:rFonts w:ascii="宋体" w:hAnsi="宋体" w:cs="宋体"/>
                <w:kern w:val="0"/>
                <w:sz w:val="20"/>
                <w:highlight w:val="none"/>
              </w:rPr>
              <w:t>100m3</w:t>
            </w:r>
          </w:p>
        </w:tc>
        <w:tc>
          <w:tcPr>
            <w:tcW w:w="626" w:type="pct"/>
            <w:tcBorders>
              <w:top w:val="single" w:color="auto" w:sz="4" w:space="0"/>
              <w:left w:val="nil"/>
              <w:bottom w:val="single" w:color="auto" w:sz="4" w:space="0"/>
              <w:right w:val="single" w:color="auto" w:sz="4" w:space="0"/>
            </w:tcBorders>
            <w:shd w:val="clear" w:color="FFFFFF" w:fill="FFFFFF"/>
            <w:vAlign w:val="center"/>
          </w:tcPr>
          <w:p w14:paraId="4D0532D3">
            <w:pPr>
              <w:widowControl/>
              <w:jc w:val="center"/>
              <w:rPr>
                <w:rFonts w:hint="eastAsia" w:ascii="宋体" w:hAnsi="宋体" w:cs="宋体"/>
                <w:kern w:val="0"/>
                <w:sz w:val="20"/>
                <w:highlight w:val="none"/>
              </w:rPr>
            </w:pPr>
            <w:r>
              <w:rPr>
                <w:rFonts w:ascii="宋体" w:hAnsi="宋体" w:cs="宋体"/>
                <w:kern w:val="0"/>
                <w:sz w:val="20"/>
                <w:highlight w:val="none"/>
              </w:rPr>
              <w:t>908.53</w:t>
            </w:r>
          </w:p>
        </w:tc>
        <w:tc>
          <w:tcPr>
            <w:tcW w:w="743" w:type="pct"/>
            <w:tcBorders>
              <w:top w:val="single" w:color="auto" w:sz="4" w:space="0"/>
              <w:left w:val="nil"/>
              <w:bottom w:val="single" w:color="auto" w:sz="4" w:space="0"/>
              <w:right w:val="single" w:color="auto" w:sz="4" w:space="0"/>
            </w:tcBorders>
            <w:shd w:val="clear" w:color="FFFFFF" w:fill="FFFFFF"/>
            <w:vAlign w:val="center"/>
          </w:tcPr>
          <w:p w14:paraId="5B7BAACF">
            <w:pPr>
              <w:widowControl/>
              <w:jc w:val="center"/>
              <w:rPr>
                <w:rFonts w:hint="eastAsia" w:ascii="宋体" w:hAnsi="宋体" w:cs="宋体"/>
                <w:kern w:val="0"/>
                <w:sz w:val="20"/>
                <w:highlight w:val="none"/>
              </w:rPr>
            </w:pPr>
            <w:r>
              <w:rPr>
                <w:rFonts w:ascii="宋体" w:hAnsi="宋体" w:cs="宋体"/>
                <w:kern w:val="0"/>
                <w:sz w:val="20"/>
                <w:highlight w:val="none"/>
              </w:rPr>
              <w:t>　</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32549F17">
            <w:pPr>
              <w:widowControl/>
              <w:jc w:val="center"/>
              <w:rPr>
                <w:rFonts w:hint="eastAsia" w:ascii="宋体" w:hAnsi="宋体" w:cs="宋体"/>
                <w:kern w:val="0"/>
                <w:sz w:val="20"/>
                <w:highlight w:val="none"/>
              </w:rPr>
            </w:pPr>
            <w:r>
              <w:rPr>
                <w:rFonts w:ascii="宋体" w:hAnsi="宋体" w:cs="宋体"/>
                <w:kern w:val="0"/>
                <w:sz w:val="20"/>
                <w:highlight w:val="none"/>
              </w:rPr>
              <w:t>　</w:t>
            </w:r>
          </w:p>
        </w:tc>
      </w:tr>
      <w:tr w14:paraId="05363F40">
        <w:tblPrEx>
          <w:tblCellMar>
            <w:top w:w="0" w:type="dxa"/>
            <w:left w:w="108" w:type="dxa"/>
            <w:bottom w:w="0" w:type="dxa"/>
            <w:right w:w="108" w:type="dxa"/>
          </w:tblCellMar>
        </w:tblPrEx>
        <w:trPr>
          <w:trHeight w:val="570"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7A7A9E91">
            <w:pPr>
              <w:widowControl/>
              <w:jc w:val="center"/>
              <w:rPr>
                <w:rFonts w:hint="eastAsia" w:ascii="宋体" w:hAnsi="宋体" w:cs="宋体"/>
                <w:kern w:val="0"/>
                <w:sz w:val="20"/>
                <w:highlight w:val="none"/>
              </w:rPr>
            </w:pPr>
            <w:r>
              <w:rPr>
                <w:rFonts w:ascii="宋体" w:hAnsi="宋体" w:cs="宋体"/>
                <w:kern w:val="0"/>
                <w:sz w:val="20"/>
                <w:highlight w:val="none"/>
              </w:rPr>
              <w:t>2</w:t>
            </w:r>
          </w:p>
        </w:tc>
        <w:tc>
          <w:tcPr>
            <w:tcW w:w="1907" w:type="pct"/>
            <w:tcBorders>
              <w:top w:val="single" w:color="auto" w:sz="4" w:space="0"/>
              <w:left w:val="nil"/>
              <w:bottom w:val="single" w:color="auto" w:sz="4" w:space="0"/>
              <w:right w:val="single" w:color="auto" w:sz="4" w:space="0"/>
            </w:tcBorders>
            <w:shd w:val="clear" w:color="FFFFFF" w:fill="FFFFFF"/>
            <w:vAlign w:val="center"/>
          </w:tcPr>
          <w:p w14:paraId="4D220B99">
            <w:pPr>
              <w:widowControl/>
              <w:jc w:val="left"/>
              <w:rPr>
                <w:rFonts w:hint="eastAsia" w:ascii="宋体" w:hAnsi="宋体" w:cs="宋体"/>
                <w:kern w:val="0"/>
                <w:sz w:val="20"/>
                <w:highlight w:val="none"/>
              </w:rPr>
            </w:pPr>
            <w:r>
              <w:rPr>
                <w:rFonts w:ascii="宋体" w:hAnsi="宋体" w:cs="宋体"/>
                <w:kern w:val="0"/>
                <w:sz w:val="20"/>
                <w:highlight w:val="none"/>
              </w:rPr>
              <w:t>机械挖运土 1m3挖掘机挖装自卸汽车运土 运距0.5~1.0km</w:t>
            </w:r>
          </w:p>
        </w:tc>
        <w:tc>
          <w:tcPr>
            <w:tcW w:w="450" w:type="pct"/>
            <w:gridSpan w:val="2"/>
            <w:tcBorders>
              <w:top w:val="single" w:color="auto" w:sz="4" w:space="0"/>
              <w:left w:val="nil"/>
              <w:bottom w:val="single" w:color="auto" w:sz="4" w:space="0"/>
              <w:right w:val="single" w:color="auto" w:sz="4" w:space="0"/>
            </w:tcBorders>
            <w:shd w:val="clear" w:color="FFFFFF" w:fill="FFFFFF"/>
            <w:vAlign w:val="center"/>
          </w:tcPr>
          <w:p w14:paraId="2E23CE37">
            <w:pPr>
              <w:widowControl/>
              <w:jc w:val="center"/>
              <w:rPr>
                <w:rFonts w:hint="eastAsia" w:ascii="宋体" w:hAnsi="宋体" w:cs="宋体"/>
                <w:kern w:val="0"/>
                <w:sz w:val="20"/>
                <w:highlight w:val="none"/>
              </w:rPr>
            </w:pPr>
            <w:r>
              <w:rPr>
                <w:rFonts w:ascii="宋体" w:hAnsi="宋体" w:cs="宋体"/>
                <w:kern w:val="0"/>
                <w:sz w:val="20"/>
                <w:highlight w:val="none"/>
              </w:rPr>
              <w:t>100m3</w:t>
            </w:r>
          </w:p>
        </w:tc>
        <w:tc>
          <w:tcPr>
            <w:tcW w:w="626" w:type="pct"/>
            <w:tcBorders>
              <w:top w:val="single" w:color="auto" w:sz="4" w:space="0"/>
              <w:left w:val="nil"/>
              <w:bottom w:val="single" w:color="auto" w:sz="4" w:space="0"/>
              <w:right w:val="single" w:color="auto" w:sz="4" w:space="0"/>
            </w:tcBorders>
            <w:shd w:val="clear" w:color="FFFFFF" w:fill="FFFFFF"/>
            <w:vAlign w:val="center"/>
          </w:tcPr>
          <w:p w14:paraId="2EAAE175">
            <w:pPr>
              <w:widowControl/>
              <w:jc w:val="center"/>
              <w:rPr>
                <w:rFonts w:hint="eastAsia" w:ascii="宋体" w:hAnsi="宋体" w:cs="宋体"/>
                <w:kern w:val="0"/>
                <w:sz w:val="20"/>
                <w:highlight w:val="none"/>
              </w:rPr>
            </w:pPr>
            <w:r>
              <w:rPr>
                <w:rFonts w:ascii="宋体" w:hAnsi="宋体" w:cs="宋体"/>
                <w:kern w:val="0"/>
                <w:sz w:val="20"/>
                <w:highlight w:val="none"/>
              </w:rPr>
              <w:t>10.9</w:t>
            </w:r>
          </w:p>
        </w:tc>
        <w:tc>
          <w:tcPr>
            <w:tcW w:w="743" w:type="pct"/>
            <w:tcBorders>
              <w:top w:val="single" w:color="auto" w:sz="4" w:space="0"/>
              <w:left w:val="nil"/>
              <w:bottom w:val="single" w:color="auto" w:sz="4" w:space="0"/>
              <w:right w:val="single" w:color="auto" w:sz="4" w:space="0"/>
            </w:tcBorders>
            <w:shd w:val="clear" w:color="FFFFFF" w:fill="FFFFFF"/>
            <w:vAlign w:val="center"/>
          </w:tcPr>
          <w:p w14:paraId="6C98184C">
            <w:pPr>
              <w:widowControl/>
              <w:jc w:val="center"/>
              <w:rPr>
                <w:rFonts w:hint="eastAsia" w:ascii="宋体" w:hAnsi="宋体" w:cs="宋体"/>
                <w:kern w:val="0"/>
                <w:sz w:val="20"/>
                <w:highlight w:val="none"/>
              </w:rPr>
            </w:pPr>
            <w:r>
              <w:rPr>
                <w:rFonts w:ascii="宋体" w:hAnsi="宋体" w:cs="宋体"/>
                <w:kern w:val="0"/>
                <w:sz w:val="20"/>
                <w:highlight w:val="none"/>
              </w:rPr>
              <w:t>　</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21E910CD">
            <w:pPr>
              <w:widowControl/>
              <w:jc w:val="center"/>
              <w:rPr>
                <w:rFonts w:hint="eastAsia" w:ascii="宋体" w:hAnsi="宋体" w:cs="宋体"/>
                <w:kern w:val="0"/>
                <w:sz w:val="20"/>
                <w:highlight w:val="none"/>
              </w:rPr>
            </w:pPr>
            <w:r>
              <w:rPr>
                <w:rFonts w:ascii="宋体" w:hAnsi="宋体" w:cs="宋体"/>
                <w:kern w:val="0"/>
                <w:sz w:val="20"/>
                <w:highlight w:val="none"/>
              </w:rPr>
              <w:t>　</w:t>
            </w:r>
          </w:p>
        </w:tc>
      </w:tr>
      <w:tr w14:paraId="4F14CDF5">
        <w:tblPrEx>
          <w:tblCellMar>
            <w:top w:w="0" w:type="dxa"/>
            <w:left w:w="108" w:type="dxa"/>
            <w:bottom w:w="0" w:type="dxa"/>
            <w:right w:w="108" w:type="dxa"/>
          </w:tblCellMar>
        </w:tblPrEx>
        <w:trPr>
          <w:trHeight w:val="570"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0D252543">
            <w:pPr>
              <w:widowControl/>
              <w:jc w:val="center"/>
              <w:rPr>
                <w:rFonts w:hint="eastAsia" w:ascii="宋体" w:hAnsi="宋体" w:cs="宋体"/>
                <w:kern w:val="0"/>
                <w:sz w:val="20"/>
                <w:highlight w:val="none"/>
              </w:rPr>
            </w:pPr>
            <w:r>
              <w:rPr>
                <w:rFonts w:ascii="宋体" w:hAnsi="宋体" w:cs="宋体"/>
                <w:kern w:val="0"/>
                <w:sz w:val="20"/>
                <w:highlight w:val="none"/>
              </w:rPr>
              <w:t>3</w:t>
            </w:r>
          </w:p>
        </w:tc>
        <w:tc>
          <w:tcPr>
            <w:tcW w:w="1907" w:type="pct"/>
            <w:tcBorders>
              <w:top w:val="single" w:color="auto" w:sz="4" w:space="0"/>
              <w:left w:val="nil"/>
              <w:bottom w:val="single" w:color="auto" w:sz="4" w:space="0"/>
              <w:right w:val="single" w:color="auto" w:sz="4" w:space="0"/>
            </w:tcBorders>
            <w:shd w:val="clear" w:color="FFFFFF" w:fill="FFFFFF"/>
            <w:vAlign w:val="center"/>
          </w:tcPr>
          <w:p w14:paraId="651338DB">
            <w:pPr>
              <w:widowControl/>
              <w:jc w:val="left"/>
              <w:rPr>
                <w:rFonts w:hint="eastAsia" w:ascii="宋体" w:hAnsi="宋体" w:cs="宋体"/>
                <w:kern w:val="0"/>
                <w:sz w:val="20"/>
                <w:highlight w:val="none"/>
              </w:rPr>
            </w:pPr>
            <w:r>
              <w:rPr>
                <w:rFonts w:ascii="宋体" w:hAnsi="宋体" w:cs="宋体"/>
                <w:kern w:val="0"/>
                <w:sz w:val="20"/>
                <w:highlight w:val="none"/>
              </w:rPr>
              <w:t>机械挖运土 1m3挖掘机挖装自卸汽车运土 运距1.0~1.5km</w:t>
            </w:r>
          </w:p>
        </w:tc>
        <w:tc>
          <w:tcPr>
            <w:tcW w:w="450" w:type="pct"/>
            <w:gridSpan w:val="2"/>
            <w:tcBorders>
              <w:top w:val="single" w:color="auto" w:sz="4" w:space="0"/>
              <w:left w:val="nil"/>
              <w:bottom w:val="single" w:color="auto" w:sz="4" w:space="0"/>
              <w:right w:val="single" w:color="auto" w:sz="4" w:space="0"/>
            </w:tcBorders>
            <w:shd w:val="clear" w:color="FFFFFF" w:fill="FFFFFF"/>
            <w:vAlign w:val="center"/>
          </w:tcPr>
          <w:p w14:paraId="2D790845">
            <w:pPr>
              <w:widowControl/>
              <w:jc w:val="center"/>
              <w:rPr>
                <w:rFonts w:hint="eastAsia" w:ascii="宋体" w:hAnsi="宋体" w:cs="宋体"/>
                <w:kern w:val="0"/>
                <w:sz w:val="20"/>
                <w:highlight w:val="none"/>
              </w:rPr>
            </w:pPr>
            <w:r>
              <w:rPr>
                <w:rFonts w:ascii="宋体" w:hAnsi="宋体" w:cs="宋体"/>
                <w:kern w:val="0"/>
                <w:sz w:val="20"/>
                <w:highlight w:val="none"/>
              </w:rPr>
              <w:t>100m3</w:t>
            </w:r>
          </w:p>
        </w:tc>
        <w:tc>
          <w:tcPr>
            <w:tcW w:w="626" w:type="pct"/>
            <w:tcBorders>
              <w:top w:val="single" w:color="auto" w:sz="4" w:space="0"/>
              <w:left w:val="nil"/>
              <w:bottom w:val="single" w:color="auto" w:sz="4" w:space="0"/>
              <w:right w:val="single" w:color="auto" w:sz="4" w:space="0"/>
            </w:tcBorders>
            <w:shd w:val="clear" w:color="FFFFFF" w:fill="FFFFFF"/>
            <w:vAlign w:val="center"/>
          </w:tcPr>
          <w:p w14:paraId="173F0953">
            <w:pPr>
              <w:widowControl/>
              <w:jc w:val="center"/>
              <w:rPr>
                <w:rFonts w:hint="eastAsia" w:ascii="宋体" w:hAnsi="宋体" w:cs="宋体"/>
                <w:kern w:val="0"/>
                <w:sz w:val="20"/>
                <w:highlight w:val="none"/>
              </w:rPr>
            </w:pPr>
            <w:r>
              <w:rPr>
                <w:rFonts w:ascii="宋体" w:hAnsi="宋体" w:cs="宋体"/>
                <w:kern w:val="0"/>
                <w:sz w:val="20"/>
                <w:highlight w:val="none"/>
              </w:rPr>
              <w:t>19.03</w:t>
            </w:r>
          </w:p>
        </w:tc>
        <w:tc>
          <w:tcPr>
            <w:tcW w:w="743" w:type="pct"/>
            <w:tcBorders>
              <w:top w:val="single" w:color="auto" w:sz="4" w:space="0"/>
              <w:left w:val="nil"/>
              <w:bottom w:val="single" w:color="auto" w:sz="4" w:space="0"/>
              <w:right w:val="single" w:color="auto" w:sz="4" w:space="0"/>
            </w:tcBorders>
            <w:shd w:val="clear" w:color="FFFFFF" w:fill="FFFFFF"/>
            <w:vAlign w:val="center"/>
          </w:tcPr>
          <w:p w14:paraId="685568DA">
            <w:pPr>
              <w:widowControl/>
              <w:jc w:val="center"/>
              <w:rPr>
                <w:rFonts w:hint="eastAsia" w:ascii="宋体" w:hAnsi="宋体" w:cs="宋体"/>
                <w:kern w:val="0"/>
                <w:sz w:val="20"/>
                <w:highlight w:val="none"/>
              </w:rPr>
            </w:pPr>
            <w:r>
              <w:rPr>
                <w:rFonts w:ascii="宋体" w:hAnsi="宋体" w:cs="宋体"/>
                <w:kern w:val="0"/>
                <w:sz w:val="20"/>
                <w:highlight w:val="none"/>
              </w:rPr>
              <w:t>　</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2FA459C6">
            <w:pPr>
              <w:widowControl/>
              <w:jc w:val="center"/>
              <w:rPr>
                <w:rFonts w:hint="eastAsia" w:ascii="宋体" w:hAnsi="宋体" w:cs="宋体"/>
                <w:kern w:val="0"/>
                <w:sz w:val="20"/>
                <w:highlight w:val="none"/>
              </w:rPr>
            </w:pPr>
            <w:r>
              <w:rPr>
                <w:rFonts w:ascii="宋体" w:hAnsi="宋体" w:cs="宋体"/>
                <w:kern w:val="0"/>
                <w:sz w:val="20"/>
                <w:highlight w:val="none"/>
              </w:rPr>
              <w:t>　</w:t>
            </w:r>
          </w:p>
        </w:tc>
      </w:tr>
      <w:tr w14:paraId="1F721775">
        <w:tblPrEx>
          <w:tblCellMar>
            <w:top w:w="0" w:type="dxa"/>
            <w:left w:w="108" w:type="dxa"/>
            <w:bottom w:w="0" w:type="dxa"/>
            <w:right w:w="108" w:type="dxa"/>
          </w:tblCellMar>
        </w:tblPrEx>
        <w:trPr>
          <w:trHeight w:val="570"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6C2DFF5A">
            <w:pPr>
              <w:widowControl/>
              <w:jc w:val="center"/>
              <w:rPr>
                <w:rFonts w:hint="eastAsia" w:ascii="宋体" w:hAnsi="宋体" w:cs="宋体"/>
                <w:kern w:val="0"/>
                <w:sz w:val="20"/>
                <w:highlight w:val="none"/>
              </w:rPr>
            </w:pPr>
            <w:r>
              <w:rPr>
                <w:rFonts w:ascii="宋体" w:hAnsi="宋体" w:cs="宋体"/>
                <w:kern w:val="0"/>
                <w:sz w:val="20"/>
                <w:highlight w:val="none"/>
              </w:rPr>
              <w:t>4</w:t>
            </w:r>
          </w:p>
        </w:tc>
        <w:tc>
          <w:tcPr>
            <w:tcW w:w="1907" w:type="pct"/>
            <w:tcBorders>
              <w:top w:val="single" w:color="auto" w:sz="4" w:space="0"/>
              <w:left w:val="nil"/>
              <w:bottom w:val="single" w:color="auto" w:sz="4" w:space="0"/>
              <w:right w:val="single" w:color="auto" w:sz="4" w:space="0"/>
            </w:tcBorders>
            <w:shd w:val="clear" w:color="FFFFFF" w:fill="FFFFFF"/>
            <w:vAlign w:val="center"/>
          </w:tcPr>
          <w:p w14:paraId="3BAA073F">
            <w:pPr>
              <w:widowControl/>
              <w:jc w:val="left"/>
              <w:rPr>
                <w:rFonts w:hint="eastAsia" w:ascii="宋体" w:hAnsi="宋体" w:cs="宋体"/>
                <w:kern w:val="0"/>
                <w:sz w:val="20"/>
                <w:highlight w:val="none"/>
              </w:rPr>
            </w:pPr>
            <w:r>
              <w:rPr>
                <w:rFonts w:ascii="宋体" w:hAnsi="宋体" w:cs="宋体"/>
                <w:kern w:val="0"/>
                <w:sz w:val="20"/>
                <w:highlight w:val="none"/>
              </w:rPr>
              <w:t>机械挖运土 1m3挖掘机挖装自卸汽车运土 运距1.5~2.0km</w:t>
            </w:r>
          </w:p>
        </w:tc>
        <w:tc>
          <w:tcPr>
            <w:tcW w:w="450" w:type="pct"/>
            <w:gridSpan w:val="2"/>
            <w:tcBorders>
              <w:top w:val="single" w:color="auto" w:sz="4" w:space="0"/>
              <w:left w:val="nil"/>
              <w:bottom w:val="single" w:color="auto" w:sz="4" w:space="0"/>
              <w:right w:val="single" w:color="auto" w:sz="4" w:space="0"/>
            </w:tcBorders>
            <w:shd w:val="clear" w:color="FFFFFF" w:fill="FFFFFF"/>
            <w:vAlign w:val="center"/>
          </w:tcPr>
          <w:p w14:paraId="04E4D6EE">
            <w:pPr>
              <w:widowControl/>
              <w:jc w:val="center"/>
              <w:rPr>
                <w:rFonts w:hint="eastAsia" w:ascii="宋体" w:hAnsi="宋体" w:cs="宋体"/>
                <w:kern w:val="0"/>
                <w:sz w:val="20"/>
                <w:highlight w:val="none"/>
              </w:rPr>
            </w:pPr>
            <w:r>
              <w:rPr>
                <w:rFonts w:ascii="宋体" w:hAnsi="宋体" w:cs="宋体"/>
                <w:kern w:val="0"/>
                <w:sz w:val="20"/>
                <w:highlight w:val="none"/>
              </w:rPr>
              <w:t>100m3</w:t>
            </w:r>
          </w:p>
        </w:tc>
        <w:tc>
          <w:tcPr>
            <w:tcW w:w="626" w:type="pct"/>
            <w:tcBorders>
              <w:top w:val="single" w:color="auto" w:sz="4" w:space="0"/>
              <w:left w:val="nil"/>
              <w:bottom w:val="single" w:color="auto" w:sz="4" w:space="0"/>
              <w:right w:val="single" w:color="auto" w:sz="4" w:space="0"/>
            </w:tcBorders>
            <w:shd w:val="clear" w:color="FFFFFF" w:fill="FFFFFF"/>
            <w:vAlign w:val="center"/>
          </w:tcPr>
          <w:p w14:paraId="5A16102C">
            <w:pPr>
              <w:widowControl/>
              <w:jc w:val="center"/>
              <w:rPr>
                <w:rFonts w:hint="eastAsia" w:ascii="宋体" w:hAnsi="宋体" w:cs="宋体"/>
                <w:kern w:val="0"/>
                <w:sz w:val="20"/>
                <w:highlight w:val="none"/>
              </w:rPr>
            </w:pPr>
            <w:r>
              <w:rPr>
                <w:rFonts w:ascii="宋体" w:hAnsi="宋体" w:cs="宋体"/>
                <w:kern w:val="0"/>
                <w:sz w:val="20"/>
                <w:highlight w:val="none"/>
              </w:rPr>
              <w:t>19.96</w:t>
            </w:r>
          </w:p>
        </w:tc>
        <w:tc>
          <w:tcPr>
            <w:tcW w:w="743" w:type="pct"/>
            <w:tcBorders>
              <w:top w:val="single" w:color="auto" w:sz="4" w:space="0"/>
              <w:left w:val="nil"/>
              <w:bottom w:val="single" w:color="auto" w:sz="4" w:space="0"/>
              <w:right w:val="single" w:color="auto" w:sz="4" w:space="0"/>
            </w:tcBorders>
            <w:shd w:val="clear" w:color="FFFFFF" w:fill="FFFFFF"/>
            <w:vAlign w:val="center"/>
          </w:tcPr>
          <w:p w14:paraId="1B774C2B">
            <w:pPr>
              <w:widowControl/>
              <w:jc w:val="center"/>
              <w:rPr>
                <w:rFonts w:hint="eastAsia" w:ascii="宋体" w:hAnsi="宋体" w:cs="宋体"/>
                <w:kern w:val="0"/>
                <w:sz w:val="20"/>
                <w:highlight w:val="none"/>
              </w:rPr>
            </w:pPr>
            <w:r>
              <w:rPr>
                <w:rFonts w:ascii="宋体" w:hAnsi="宋体" w:cs="宋体"/>
                <w:kern w:val="0"/>
                <w:sz w:val="20"/>
                <w:highlight w:val="none"/>
              </w:rPr>
              <w:t>　</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4AB1BB7A">
            <w:pPr>
              <w:widowControl/>
              <w:jc w:val="center"/>
              <w:rPr>
                <w:rFonts w:hint="eastAsia" w:ascii="宋体" w:hAnsi="宋体" w:cs="宋体"/>
                <w:kern w:val="0"/>
                <w:sz w:val="20"/>
                <w:highlight w:val="none"/>
              </w:rPr>
            </w:pPr>
            <w:r>
              <w:rPr>
                <w:rFonts w:ascii="宋体" w:hAnsi="宋体" w:cs="宋体"/>
                <w:kern w:val="0"/>
                <w:sz w:val="20"/>
                <w:highlight w:val="none"/>
              </w:rPr>
              <w:t>　</w:t>
            </w:r>
          </w:p>
        </w:tc>
      </w:tr>
      <w:tr w14:paraId="6EDFB18C">
        <w:tblPrEx>
          <w:tblCellMar>
            <w:top w:w="0" w:type="dxa"/>
            <w:left w:w="108" w:type="dxa"/>
            <w:bottom w:w="0" w:type="dxa"/>
            <w:right w:w="108" w:type="dxa"/>
          </w:tblCellMar>
        </w:tblPrEx>
        <w:trPr>
          <w:trHeight w:val="570"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76FA98B3">
            <w:pPr>
              <w:widowControl/>
              <w:jc w:val="center"/>
              <w:rPr>
                <w:rFonts w:hint="eastAsia" w:ascii="宋体" w:hAnsi="宋体" w:cs="宋体"/>
                <w:kern w:val="0"/>
                <w:sz w:val="20"/>
                <w:highlight w:val="none"/>
              </w:rPr>
            </w:pPr>
            <w:r>
              <w:rPr>
                <w:rFonts w:ascii="宋体" w:hAnsi="宋体" w:cs="宋体"/>
                <w:kern w:val="0"/>
                <w:sz w:val="20"/>
                <w:highlight w:val="none"/>
              </w:rPr>
              <w:t>5</w:t>
            </w:r>
          </w:p>
        </w:tc>
        <w:tc>
          <w:tcPr>
            <w:tcW w:w="1907" w:type="pct"/>
            <w:tcBorders>
              <w:top w:val="single" w:color="auto" w:sz="4" w:space="0"/>
              <w:left w:val="nil"/>
              <w:bottom w:val="single" w:color="auto" w:sz="4" w:space="0"/>
              <w:right w:val="single" w:color="auto" w:sz="4" w:space="0"/>
            </w:tcBorders>
            <w:shd w:val="clear" w:color="FFFFFF" w:fill="FFFFFF"/>
            <w:vAlign w:val="center"/>
          </w:tcPr>
          <w:p w14:paraId="06C109E2">
            <w:pPr>
              <w:widowControl/>
              <w:jc w:val="left"/>
              <w:rPr>
                <w:rFonts w:hint="eastAsia" w:ascii="宋体" w:hAnsi="宋体" w:cs="宋体"/>
                <w:kern w:val="0"/>
                <w:sz w:val="20"/>
                <w:highlight w:val="none"/>
              </w:rPr>
            </w:pPr>
            <w:r>
              <w:rPr>
                <w:rFonts w:ascii="宋体" w:hAnsi="宋体" w:cs="宋体"/>
                <w:kern w:val="0"/>
                <w:sz w:val="20"/>
                <w:highlight w:val="none"/>
              </w:rPr>
              <w:t>机械挖运土 1m3挖掘机挖装自卸汽车运土 运距2.0~3.0km</w:t>
            </w:r>
          </w:p>
        </w:tc>
        <w:tc>
          <w:tcPr>
            <w:tcW w:w="450" w:type="pct"/>
            <w:gridSpan w:val="2"/>
            <w:tcBorders>
              <w:top w:val="single" w:color="auto" w:sz="4" w:space="0"/>
              <w:left w:val="nil"/>
              <w:bottom w:val="single" w:color="auto" w:sz="4" w:space="0"/>
              <w:right w:val="single" w:color="auto" w:sz="4" w:space="0"/>
            </w:tcBorders>
            <w:shd w:val="clear" w:color="FFFFFF" w:fill="FFFFFF"/>
            <w:vAlign w:val="center"/>
          </w:tcPr>
          <w:p w14:paraId="36A4EA82">
            <w:pPr>
              <w:widowControl/>
              <w:jc w:val="center"/>
              <w:rPr>
                <w:rFonts w:hint="eastAsia" w:ascii="宋体" w:hAnsi="宋体" w:cs="宋体"/>
                <w:kern w:val="0"/>
                <w:sz w:val="20"/>
                <w:highlight w:val="none"/>
              </w:rPr>
            </w:pPr>
            <w:r>
              <w:rPr>
                <w:rFonts w:ascii="宋体" w:hAnsi="宋体" w:cs="宋体"/>
                <w:kern w:val="0"/>
                <w:sz w:val="20"/>
                <w:highlight w:val="none"/>
              </w:rPr>
              <w:t>100m3</w:t>
            </w:r>
          </w:p>
        </w:tc>
        <w:tc>
          <w:tcPr>
            <w:tcW w:w="626" w:type="pct"/>
            <w:tcBorders>
              <w:top w:val="single" w:color="auto" w:sz="4" w:space="0"/>
              <w:left w:val="nil"/>
              <w:bottom w:val="single" w:color="auto" w:sz="4" w:space="0"/>
              <w:right w:val="single" w:color="auto" w:sz="4" w:space="0"/>
            </w:tcBorders>
            <w:shd w:val="clear" w:color="FFFFFF" w:fill="FFFFFF"/>
            <w:vAlign w:val="center"/>
          </w:tcPr>
          <w:p w14:paraId="6FC55B09">
            <w:pPr>
              <w:widowControl/>
              <w:jc w:val="center"/>
              <w:rPr>
                <w:rFonts w:hint="eastAsia" w:ascii="宋体" w:hAnsi="宋体" w:cs="宋体"/>
                <w:kern w:val="0"/>
                <w:sz w:val="20"/>
                <w:highlight w:val="none"/>
              </w:rPr>
            </w:pPr>
            <w:r>
              <w:rPr>
                <w:rFonts w:ascii="宋体" w:hAnsi="宋体" w:cs="宋体"/>
                <w:kern w:val="0"/>
                <w:sz w:val="20"/>
                <w:highlight w:val="none"/>
              </w:rPr>
              <w:t>533.24</w:t>
            </w:r>
          </w:p>
        </w:tc>
        <w:tc>
          <w:tcPr>
            <w:tcW w:w="743" w:type="pct"/>
            <w:tcBorders>
              <w:top w:val="single" w:color="auto" w:sz="4" w:space="0"/>
              <w:left w:val="nil"/>
              <w:bottom w:val="single" w:color="auto" w:sz="4" w:space="0"/>
              <w:right w:val="single" w:color="auto" w:sz="4" w:space="0"/>
            </w:tcBorders>
            <w:shd w:val="clear" w:color="FFFFFF" w:fill="FFFFFF"/>
            <w:vAlign w:val="center"/>
          </w:tcPr>
          <w:p w14:paraId="014251FF">
            <w:pPr>
              <w:widowControl/>
              <w:jc w:val="center"/>
              <w:rPr>
                <w:rFonts w:hint="eastAsia" w:ascii="宋体" w:hAnsi="宋体" w:cs="宋体"/>
                <w:kern w:val="0"/>
                <w:sz w:val="20"/>
                <w:highlight w:val="none"/>
              </w:rPr>
            </w:pPr>
            <w:r>
              <w:rPr>
                <w:rFonts w:ascii="宋体" w:hAnsi="宋体" w:cs="宋体"/>
                <w:kern w:val="0"/>
                <w:sz w:val="20"/>
                <w:highlight w:val="none"/>
              </w:rPr>
              <w:t>　</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68506280">
            <w:pPr>
              <w:widowControl/>
              <w:jc w:val="center"/>
              <w:rPr>
                <w:rFonts w:hint="eastAsia" w:ascii="宋体" w:hAnsi="宋体" w:cs="宋体"/>
                <w:kern w:val="0"/>
                <w:sz w:val="20"/>
                <w:highlight w:val="none"/>
              </w:rPr>
            </w:pPr>
            <w:r>
              <w:rPr>
                <w:rFonts w:ascii="宋体" w:hAnsi="宋体" w:cs="宋体"/>
                <w:kern w:val="0"/>
                <w:sz w:val="20"/>
                <w:highlight w:val="none"/>
              </w:rPr>
              <w:t>　</w:t>
            </w:r>
          </w:p>
        </w:tc>
      </w:tr>
      <w:tr w14:paraId="3582D461">
        <w:tblPrEx>
          <w:tblCellMar>
            <w:top w:w="0" w:type="dxa"/>
            <w:left w:w="108" w:type="dxa"/>
            <w:bottom w:w="0" w:type="dxa"/>
            <w:right w:w="108" w:type="dxa"/>
          </w:tblCellMar>
        </w:tblPrEx>
        <w:trPr>
          <w:trHeight w:val="570"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16AB467E">
            <w:pPr>
              <w:widowControl/>
              <w:jc w:val="center"/>
              <w:rPr>
                <w:rFonts w:hint="eastAsia" w:ascii="宋体" w:hAnsi="宋体" w:cs="宋体"/>
                <w:kern w:val="0"/>
                <w:sz w:val="20"/>
                <w:highlight w:val="none"/>
              </w:rPr>
            </w:pPr>
            <w:r>
              <w:rPr>
                <w:rFonts w:ascii="宋体" w:hAnsi="宋体" w:cs="宋体"/>
                <w:kern w:val="0"/>
                <w:sz w:val="20"/>
                <w:highlight w:val="none"/>
              </w:rPr>
              <w:t>6</w:t>
            </w:r>
          </w:p>
        </w:tc>
        <w:tc>
          <w:tcPr>
            <w:tcW w:w="1907" w:type="pct"/>
            <w:tcBorders>
              <w:top w:val="single" w:color="auto" w:sz="4" w:space="0"/>
              <w:left w:val="nil"/>
              <w:bottom w:val="single" w:color="auto" w:sz="4" w:space="0"/>
              <w:right w:val="single" w:color="auto" w:sz="4" w:space="0"/>
            </w:tcBorders>
            <w:shd w:val="clear" w:color="FFFFFF" w:fill="FFFFFF"/>
            <w:vAlign w:val="center"/>
          </w:tcPr>
          <w:p w14:paraId="43BC025A">
            <w:pPr>
              <w:widowControl/>
              <w:jc w:val="left"/>
              <w:rPr>
                <w:rFonts w:hint="eastAsia" w:ascii="宋体" w:hAnsi="宋体" w:cs="宋体"/>
                <w:kern w:val="0"/>
                <w:sz w:val="20"/>
                <w:highlight w:val="none"/>
              </w:rPr>
            </w:pPr>
            <w:r>
              <w:rPr>
                <w:rFonts w:ascii="宋体" w:hAnsi="宋体" w:cs="宋体"/>
                <w:kern w:val="0"/>
                <w:sz w:val="20"/>
                <w:highlight w:val="none"/>
              </w:rPr>
              <w:t>机械挖运土 1m3挖掘机挖装自卸汽车运土 运距3.0~4.0km</w:t>
            </w:r>
          </w:p>
        </w:tc>
        <w:tc>
          <w:tcPr>
            <w:tcW w:w="450" w:type="pct"/>
            <w:gridSpan w:val="2"/>
            <w:tcBorders>
              <w:top w:val="single" w:color="auto" w:sz="4" w:space="0"/>
              <w:left w:val="nil"/>
              <w:bottom w:val="single" w:color="auto" w:sz="4" w:space="0"/>
              <w:right w:val="single" w:color="auto" w:sz="4" w:space="0"/>
            </w:tcBorders>
            <w:shd w:val="clear" w:color="FFFFFF" w:fill="FFFFFF"/>
            <w:vAlign w:val="center"/>
          </w:tcPr>
          <w:p w14:paraId="1EB3017A">
            <w:pPr>
              <w:widowControl/>
              <w:jc w:val="center"/>
              <w:rPr>
                <w:rFonts w:hint="eastAsia" w:ascii="宋体" w:hAnsi="宋体" w:cs="宋体"/>
                <w:kern w:val="0"/>
                <w:sz w:val="20"/>
                <w:highlight w:val="none"/>
              </w:rPr>
            </w:pPr>
            <w:r>
              <w:rPr>
                <w:rFonts w:ascii="宋体" w:hAnsi="宋体" w:cs="宋体"/>
                <w:kern w:val="0"/>
                <w:sz w:val="20"/>
                <w:highlight w:val="none"/>
              </w:rPr>
              <w:t>100m3</w:t>
            </w:r>
          </w:p>
        </w:tc>
        <w:tc>
          <w:tcPr>
            <w:tcW w:w="626" w:type="pct"/>
            <w:tcBorders>
              <w:top w:val="single" w:color="auto" w:sz="4" w:space="0"/>
              <w:left w:val="nil"/>
              <w:bottom w:val="single" w:color="auto" w:sz="4" w:space="0"/>
              <w:right w:val="single" w:color="auto" w:sz="4" w:space="0"/>
            </w:tcBorders>
            <w:shd w:val="clear" w:color="FFFFFF" w:fill="FFFFFF"/>
            <w:vAlign w:val="center"/>
          </w:tcPr>
          <w:p w14:paraId="544C636F">
            <w:pPr>
              <w:widowControl/>
              <w:jc w:val="center"/>
              <w:rPr>
                <w:rFonts w:hint="eastAsia" w:ascii="宋体" w:hAnsi="宋体" w:cs="宋体"/>
                <w:kern w:val="0"/>
                <w:sz w:val="20"/>
                <w:highlight w:val="none"/>
              </w:rPr>
            </w:pPr>
            <w:r>
              <w:rPr>
                <w:rFonts w:ascii="宋体" w:hAnsi="宋体" w:cs="宋体"/>
                <w:kern w:val="0"/>
                <w:sz w:val="20"/>
                <w:highlight w:val="none"/>
              </w:rPr>
              <w:t>49.16</w:t>
            </w:r>
          </w:p>
        </w:tc>
        <w:tc>
          <w:tcPr>
            <w:tcW w:w="743" w:type="pct"/>
            <w:tcBorders>
              <w:top w:val="single" w:color="auto" w:sz="4" w:space="0"/>
              <w:left w:val="nil"/>
              <w:bottom w:val="single" w:color="auto" w:sz="4" w:space="0"/>
              <w:right w:val="single" w:color="auto" w:sz="4" w:space="0"/>
            </w:tcBorders>
            <w:shd w:val="clear" w:color="FFFFFF" w:fill="FFFFFF"/>
            <w:vAlign w:val="center"/>
          </w:tcPr>
          <w:p w14:paraId="118F896C">
            <w:pPr>
              <w:widowControl/>
              <w:jc w:val="center"/>
              <w:rPr>
                <w:rFonts w:hint="eastAsia" w:ascii="宋体" w:hAnsi="宋体" w:cs="宋体"/>
                <w:kern w:val="0"/>
                <w:sz w:val="20"/>
                <w:highlight w:val="none"/>
              </w:rPr>
            </w:pPr>
            <w:r>
              <w:rPr>
                <w:rFonts w:ascii="宋体" w:hAnsi="宋体" w:cs="宋体"/>
                <w:kern w:val="0"/>
                <w:sz w:val="20"/>
                <w:highlight w:val="none"/>
              </w:rPr>
              <w:t>　</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4A979D85">
            <w:pPr>
              <w:widowControl/>
              <w:jc w:val="center"/>
              <w:rPr>
                <w:rFonts w:hint="eastAsia" w:ascii="宋体" w:hAnsi="宋体" w:cs="宋体"/>
                <w:kern w:val="0"/>
                <w:sz w:val="20"/>
                <w:highlight w:val="none"/>
              </w:rPr>
            </w:pPr>
            <w:r>
              <w:rPr>
                <w:rFonts w:ascii="宋体" w:hAnsi="宋体" w:cs="宋体"/>
                <w:kern w:val="0"/>
                <w:sz w:val="20"/>
                <w:highlight w:val="none"/>
              </w:rPr>
              <w:t>　</w:t>
            </w:r>
          </w:p>
        </w:tc>
      </w:tr>
      <w:tr w14:paraId="33D8B962">
        <w:tblPrEx>
          <w:tblCellMar>
            <w:top w:w="0" w:type="dxa"/>
            <w:left w:w="108" w:type="dxa"/>
            <w:bottom w:w="0" w:type="dxa"/>
            <w:right w:w="108" w:type="dxa"/>
          </w:tblCellMar>
        </w:tblPrEx>
        <w:trPr>
          <w:trHeight w:val="570"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771A57A4">
            <w:pPr>
              <w:widowControl/>
              <w:jc w:val="center"/>
              <w:rPr>
                <w:rFonts w:hint="eastAsia" w:ascii="宋体" w:hAnsi="宋体" w:cs="宋体"/>
                <w:kern w:val="0"/>
                <w:sz w:val="20"/>
                <w:highlight w:val="none"/>
              </w:rPr>
            </w:pPr>
            <w:r>
              <w:rPr>
                <w:rFonts w:ascii="宋体" w:hAnsi="宋体" w:cs="宋体"/>
                <w:kern w:val="0"/>
                <w:sz w:val="20"/>
                <w:highlight w:val="none"/>
              </w:rPr>
              <w:t>7</w:t>
            </w:r>
          </w:p>
        </w:tc>
        <w:tc>
          <w:tcPr>
            <w:tcW w:w="1907" w:type="pct"/>
            <w:tcBorders>
              <w:top w:val="single" w:color="auto" w:sz="4" w:space="0"/>
              <w:left w:val="nil"/>
              <w:bottom w:val="single" w:color="auto" w:sz="4" w:space="0"/>
              <w:right w:val="single" w:color="auto" w:sz="4" w:space="0"/>
            </w:tcBorders>
            <w:shd w:val="clear" w:color="FFFFFF" w:fill="FFFFFF"/>
            <w:vAlign w:val="center"/>
          </w:tcPr>
          <w:p w14:paraId="48A11694">
            <w:pPr>
              <w:widowControl/>
              <w:jc w:val="left"/>
              <w:rPr>
                <w:rFonts w:hint="eastAsia" w:ascii="宋体" w:hAnsi="宋体" w:cs="宋体"/>
                <w:kern w:val="0"/>
                <w:sz w:val="20"/>
                <w:highlight w:val="none"/>
              </w:rPr>
            </w:pPr>
            <w:r>
              <w:rPr>
                <w:rFonts w:ascii="宋体" w:hAnsi="宋体" w:cs="宋体"/>
                <w:kern w:val="0"/>
                <w:sz w:val="20"/>
                <w:highlight w:val="none"/>
              </w:rPr>
              <w:t>机械挖运土 1m3挖掘机挖装自卸汽车运土 运距4.0~5.0km</w:t>
            </w:r>
          </w:p>
        </w:tc>
        <w:tc>
          <w:tcPr>
            <w:tcW w:w="450" w:type="pct"/>
            <w:gridSpan w:val="2"/>
            <w:tcBorders>
              <w:top w:val="single" w:color="auto" w:sz="4" w:space="0"/>
              <w:left w:val="nil"/>
              <w:bottom w:val="single" w:color="auto" w:sz="4" w:space="0"/>
              <w:right w:val="single" w:color="auto" w:sz="4" w:space="0"/>
            </w:tcBorders>
            <w:shd w:val="clear" w:color="FFFFFF" w:fill="FFFFFF"/>
            <w:vAlign w:val="center"/>
          </w:tcPr>
          <w:p w14:paraId="66EC0A19">
            <w:pPr>
              <w:widowControl/>
              <w:jc w:val="center"/>
              <w:rPr>
                <w:rFonts w:hint="eastAsia" w:ascii="宋体" w:hAnsi="宋体" w:cs="宋体"/>
                <w:kern w:val="0"/>
                <w:sz w:val="20"/>
                <w:highlight w:val="none"/>
              </w:rPr>
            </w:pPr>
            <w:r>
              <w:rPr>
                <w:rFonts w:ascii="宋体" w:hAnsi="宋体" w:cs="宋体"/>
                <w:kern w:val="0"/>
                <w:sz w:val="20"/>
                <w:highlight w:val="none"/>
              </w:rPr>
              <w:t>100m3</w:t>
            </w:r>
          </w:p>
        </w:tc>
        <w:tc>
          <w:tcPr>
            <w:tcW w:w="626" w:type="pct"/>
            <w:tcBorders>
              <w:top w:val="single" w:color="auto" w:sz="4" w:space="0"/>
              <w:left w:val="nil"/>
              <w:bottom w:val="single" w:color="auto" w:sz="4" w:space="0"/>
              <w:right w:val="single" w:color="auto" w:sz="4" w:space="0"/>
            </w:tcBorders>
            <w:shd w:val="clear" w:color="FFFFFF" w:fill="FFFFFF"/>
            <w:vAlign w:val="center"/>
          </w:tcPr>
          <w:p w14:paraId="084C5539">
            <w:pPr>
              <w:widowControl/>
              <w:jc w:val="center"/>
              <w:rPr>
                <w:rFonts w:hint="eastAsia" w:ascii="宋体" w:hAnsi="宋体" w:cs="宋体"/>
                <w:kern w:val="0"/>
                <w:sz w:val="20"/>
                <w:highlight w:val="none"/>
              </w:rPr>
            </w:pPr>
            <w:r>
              <w:rPr>
                <w:rFonts w:ascii="宋体" w:hAnsi="宋体" w:cs="宋体"/>
                <w:kern w:val="0"/>
                <w:sz w:val="20"/>
                <w:highlight w:val="none"/>
              </w:rPr>
              <w:t>75.17</w:t>
            </w:r>
          </w:p>
        </w:tc>
        <w:tc>
          <w:tcPr>
            <w:tcW w:w="743" w:type="pct"/>
            <w:tcBorders>
              <w:top w:val="single" w:color="auto" w:sz="4" w:space="0"/>
              <w:left w:val="nil"/>
              <w:bottom w:val="single" w:color="auto" w:sz="4" w:space="0"/>
              <w:right w:val="single" w:color="auto" w:sz="4" w:space="0"/>
            </w:tcBorders>
            <w:shd w:val="clear" w:color="FFFFFF" w:fill="FFFFFF"/>
            <w:vAlign w:val="center"/>
          </w:tcPr>
          <w:p w14:paraId="736E3403">
            <w:pPr>
              <w:widowControl/>
              <w:jc w:val="center"/>
              <w:rPr>
                <w:rFonts w:hint="eastAsia" w:ascii="宋体" w:hAnsi="宋体" w:cs="宋体"/>
                <w:kern w:val="0"/>
                <w:sz w:val="20"/>
                <w:highlight w:val="none"/>
              </w:rPr>
            </w:pPr>
            <w:r>
              <w:rPr>
                <w:rFonts w:ascii="宋体" w:hAnsi="宋体" w:cs="宋体"/>
                <w:kern w:val="0"/>
                <w:sz w:val="20"/>
                <w:highlight w:val="none"/>
              </w:rPr>
              <w:t>　</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65CE3BCB">
            <w:pPr>
              <w:widowControl/>
              <w:jc w:val="center"/>
              <w:rPr>
                <w:rFonts w:hint="eastAsia" w:ascii="宋体" w:hAnsi="宋体" w:cs="宋体"/>
                <w:kern w:val="0"/>
                <w:sz w:val="20"/>
                <w:highlight w:val="none"/>
              </w:rPr>
            </w:pPr>
            <w:r>
              <w:rPr>
                <w:rFonts w:ascii="宋体" w:hAnsi="宋体" w:cs="宋体"/>
                <w:kern w:val="0"/>
                <w:sz w:val="20"/>
                <w:highlight w:val="none"/>
              </w:rPr>
              <w:t>　</w:t>
            </w:r>
          </w:p>
        </w:tc>
      </w:tr>
      <w:tr w14:paraId="0F5C82DE">
        <w:tblPrEx>
          <w:tblCellMar>
            <w:top w:w="0" w:type="dxa"/>
            <w:left w:w="108" w:type="dxa"/>
            <w:bottom w:w="0" w:type="dxa"/>
            <w:right w:w="108" w:type="dxa"/>
          </w:tblCellMar>
        </w:tblPrEx>
        <w:trPr>
          <w:trHeight w:val="570"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1C4CA7E4">
            <w:pPr>
              <w:widowControl/>
              <w:jc w:val="center"/>
              <w:rPr>
                <w:rFonts w:hint="eastAsia" w:ascii="宋体" w:hAnsi="宋体" w:cs="宋体"/>
                <w:kern w:val="0"/>
                <w:sz w:val="20"/>
                <w:highlight w:val="none"/>
              </w:rPr>
            </w:pPr>
            <w:r>
              <w:rPr>
                <w:rFonts w:ascii="宋体" w:hAnsi="宋体" w:cs="宋体"/>
                <w:kern w:val="0"/>
                <w:sz w:val="20"/>
                <w:highlight w:val="none"/>
              </w:rPr>
              <w:t>8</w:t>
            </w:r>
          </w:p>
        </w:tc>
        <w:tc>
          <w:tcPr>
            <w:tcW w:w="1907" w:type="pct"/>
            <w:tcBorders>
              <w:top w:val="single" w:color="auto" w:sz="4" w:space="0"/>
              <w:left w:val="nil"/>
              <w:bottom w:val="single" w:color="auto" w:sz="4" w:space="0"/>
              <w:right w:val="single" w:color="auto" w:sz="4" w:space="0"/>
            </w:tcBorders>
            <w:shd w:val="clear" w:color="FFFFFF" w:fill="FFFFFF"/>
            <w:vAlign w:val="center"/>
          </w:tcPr>
          <w:p w14:paraId="43D18DA6">
            <w:pPr>
              <w:widowControl/>
              <w:jc w:val="left"/>
              <w:rPr>
                <w:rFonts w:hint="eastAsia" w:ascii="宋体" w:hAnsi="宋体" w:cs="宋体"/>
                <w:kern w:val="0"/>
                <w:sz w:val="20"/>
                <w:highlight w:val="none"/>
              </w:rPr>
            </w:pPr>
            <w:r>
              <w:rPr>
                <w:rFonts w:ascii="宋体" w:hAnsi="宋体" w:cs="宋体"/>
                <w:kern w:val="0"/>
                <w:sz w:val="20"/>
                <w:highlight w:val="none"/>
              </w:rPr>
              <w:t>推土机推土(一、二类土) 推土距离10~20m</w:t>
            </w:r>
          </w:p>
        </w:tc>
        <w:tc>
          <w:tcPr>
            <w:tcW w:w="450" w:type="pct"/>
            <w:gridSpan w:val="2"/>
            <w:tcBorders>
              <w:top w:val="single" w:color="auto" w:sz="4" w:space="0"/>
              <w:left w:val="nil"/>
              <w:bottom w:val="single" w:color="auto" w:sz="4" w:space="0"/>
              <w:right w:val="single" w:color="auto" w:sz="4" w:space="0"/>
            </w:tcBorders>
            <w:shd w:val="clear" w:color="FFFFFF" w:fill="FFFFFF"/>
            <w:vAlign w:val="center"/>
          </w:tcPr>
          <w:p w14:paraId="5933FF81">
            <w:pPr>
              <w:widowControl/>
              <w:jc w:val="center"/>
              <w:rPr>
                <w:rFonts w:hint="eastAsia" w:ascii="宋体" w:hAnsi="宋体" w:cs="宋体"/>
                <w:kern w:val="0"/>
                <w:sz w:val="20"/>
                <w:highlight w:val="none"/>
              </w:rPr>
            </w:pPr>
            <w:r>
              <w:rPr>
                <w:rFonts w:ascii="宋体" w:hAnsi="宋体" w:cs="宋体"/>
                <w:kern w:val="0"/>
                <w:sz w:val="20"/>
                <w:highlight w:val="none"/>
              </w:rPr>
              <w:t>100m3</w:t>
            </w:r>
          </w:p>
        </w:tc>
        <w:tc>
          <w:tcPr>
            <w:tcW w:w="626" w:type="pct"/>
            <w:tcBorders>
              <w:top w:val="single" w:color="auto" w:sz="4" w:space="0"/>
              <w:left w:val="nil"/>
              <w:bottom w:val="single" w:color="auto" w:sz="4" w:space="0"/>
              <w:right w:val="single" w:color="auto" w:sz="4" w:space="0"/>
            </w:tcBorders>
            <w:shd w:val="clear" w:color="FFFFFF" w:fill="FFFFFF"/>
            <w:vAlign w:val="center"/>
          </w:tcPr>
          <w:p w14:paraId="3ADDEEC6">
            <w:pPr>
              <w:widowControl/>
              <w:jc w:val="center"/>
              <w:rPr>
                <w:rFonts w:hint="eastAsia" w:ascii="宋体" w:hAnsi="宋体" w:cs="宋体"/>
                <w:kern w:val="0"/>
                <w:sz w:val="20"/>
                <w:highlight w:val="none"/>
              </w:rPr>
            </w:pPr>
            <w:r>
              <w:rPr>
                <w:rFonts w:ascii="宋体" w:hAnsi="宋体" w:cs="宋体"/>
                <w:kern w:val="0"/>
                <w:sz w:val="20"/>
                <w:highlight w:val="none"/>
              </w:rPr>
              <w:t>41.37</w:t>
            </w:r>
          </w:p>
        </w:tc>
        <w:tc>
          <w:tcPr>
            <w:tcW w:w="743" w:type="pct"/>
            <w:tcBorders>
              <w:top w:val="single" w:color="auto" w:sz="4" w:space="0"/>
              <w:left w:val="nil"/>
              <w:bottom w:val="single" w:color="auto" w:sz="4" w:space="0"/>
              <w:right w:val="single" w:color="auto" w:sz="4" w:space="0"/>
            </w:tcBorders>
            <w:shd w:val="clear" w:color="FFFFFF" w:fill="FFFFFF"/>
            <w:vAlign w:val="center"/>
          </w:tcPr>
          <w:p w14:paraId="6F1E05E2">
            <w:pPr>
              <w:widowControl/>
              <w:jc w:val="center"/>
              <w:rPr>
                <w:rFonts w:hint="eastAsia" w:ascii="宋体" w:hAnsi="宋体" w:cs="宋体"/>
                <w:kern w:val="0"/>
                <w:sz w:val="20"/>
                <w:highlight w:val="none"/>
              </w:rPr>
            </w:pPr>
            <w:r>
              <w:rPr>
                <w:rFonts w:ascii="宋体" w:hAnsi="宋体" w:cs="宋体"/>
                <w:kern w:val="0"/>
                <w:sz w:val="20"/>
                <w:highlight w:val="none"/>
              </w:rPr>
              <w:t>　</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6DD494C7">
            <w:pPr>
              <w:widowControl/>
              <w:jc w:val="center"/>
              <w:rPr>
                <w:rFonts w:hint="eastAsia" w:ascii="宋体" w:hAnsi="宋体" w:cs="宋体"/>
                <w:kern w:val="0"/>
                <w:sz w:val="20"/>
                <w:highlight w:val="none"/>
              </w:rPr>
            </w:pPr>
            <w:r>
              <w:rPr>
                <w:rFonts w:ascii="宋体" w:hAnsi="宋体" w:cs="宋体"/>
                <w:kern w:val="0"/>
                <w:sz w:val="20"/>
                <w:highlight w:val="none"/>
              </w:rPr>
              <w:t>　</w:t>
            </w:r>
          </w:p>
        </w:tc>
      </w:tr>
      <w:tr w14:paraId="6E837D1F">
        <w:tblPrEx>
          <w:tblCellMar>
            <w:top w:w="0" w:type="dxa"/>
            <w:left w:w="108" w:type="dxa"/>
            <w:bottom w:w="0" w:type="dxa"/>
            <w:right w:w="108" w:type="dxa"/>
          </w:tblCellMar>
        </w:tblPrEx>
        <w:trPr>
          <w:trHeight w:val="570"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6B1539C4">
            <w:pPr>
              <w:widowControl/>
              <w:jc w:val="center"/>
              <w:rPr>
                <w:rFonts w:hint="eastAsia" w:ascii="宋体" w:hAnsi="宋体" w:cs="宋体"/>
                <w:kern w:val="0"/>
                <w:sz w:val="20"/>
                <w:highlight w:val="none"/>
              </w:rPr>
            </w:pPr>
            <w:r>
              <w:rPr>
                <w:rFonts w:ascii="宋体" w:hAnsi="宋体" w:cs="宋体"/>
                <w:kern w:val="0"/>
                <w:sz w:val="20"/>
                <w:highlight w:val="none"/>
              </w:rPr>
              <w:t>9</w:t>
            </w:r>
          </w:p>
        </w:tc>
        <w:tc>
          <w:tcPr>
            <w:tcW w:w="1907" w:type="pct"/>
            <w:tcBorders>
              <w:top w:val="single" w:color="auto" w:sz="4" w:space="0"/>
              <w:left w:val="nil"/>
              <w:bottom w:val="single" w:color="auto" w:sz="4" w:space="0"/>
              <w:right w:val="single" w:color="auto" w:sz="4" w:space="0"/>
            </w:tcBorders>
            <w:shd w:val="clear" w:color="FFFFFF" w:fill="FFFFFF"/>
            <w:vAlign w:val="center"/>
          </w:tcPr>
          <w:p w14:paraId="2855FA1B">
            <w:pPr>
              <w:widowControl/>
              <w:jc w:val="left"/>
              <w:rPr>
                <w:rFonts w:hint="eastAsia" w:ascii="宋体" w:hAnsi="宋体" w:cs="宋体"/>
                <w:kern w:val="0"/>
                <w:sz w:val="20"/>
                <w:highlight w:val="none"/>
              </w:rPr>
            </w:pPr>
            <w:r>
              <w:rPr>
                <w:rFonts w:ascii="宋体" w:hAnsi="宋体" w:cs="宋体"/>
                <w:kern w:val="0"/>
                <w:sz w:val="20"/>
                <w:highlight w:val="none"/>
              </w:rPr>
              <w:t>推土机推土(一、二类土) 推土距离20~30m</w:t>
            </w:r>
          </w:p>
        </w:tc>
        <w:tc>
          <w:tcPr>
            <w:tcW w:w="450" w:type="pct"/>
            <w:gridSpan w:val="2"/>
            <w:tcBorders>
              <w:top w:val="single" w:color="auto" w:sz="4" w:space="0"/>
              <w:left w:val="nil"/>
              <w:bottom w:val="single" w:color="auto" w:sz="4" w:space="0"/>
              <w:right w:val="single" w:color="auto" w:sz="4" w:space="0"/>
            </w:tcBorders>
            <w:shd w:val="clear" w:color="FFFFFF" w:fill="FFFFFF"/>
            <w:vAlign w:val="center"/>
          </w:tcPr>
          <w:p w14:paraId="0568B8DA">
            <w:pPr>
              <w:widowControl/>
              <w:jc w:val="center"/>
              <w:rPr>
                <w:rFonts w:hint="eastAsia" w:ascii="宋体" w:hAnsi="宋体" w:cs="宋体"/>
                <w:kern w:val="0"/>
                <w:sz w:val="20"/>
                <w:highlight w:val="none"/>
              </w:rPr>
            </w:pPr>
            <w:r>
              <w:rPr>
                <w:rFonts w:ascii="宋体" w:hAnsi="宋体" w:cs="宋体"/>
                <w:kern w:val="0"/>
                <w:sz w:val="20"/>
                <w:highlight w:val="none"/>
              </w:rPr>
              <w:t>100m3</w:t>
            </w:r>
          </w:p>
        </w:tc>
        <w:tc>
          <w:tcPr>
            <w:tcW w:w="626" w:type="pct"/>
            <w:tcBorders>
              <w:top w:val="single" w:color="auto" w:sz="4" w:space="0"/>
              <w:left w:val="nil"/>
              <w:bottom w:val="single" w:color="auto" w:sz="4" w:space="0"/>
              <w:right w:val="single" w:color="auto" w:sz="4" w:space="0"/>
            </w:tcBorders>
            <w:shd w:val="clear" w:color="FFFFFF" w:fill="FFFFFF"/>
            <w:vAlign w:val="center"/>
          </w:tcPr>
          <w:p w14:paraId="1D882AE9">
            <w:pPr>
              <w:widowControl/>
              <w:jc w:val="center"/>
              <w:rPr>
                <w:rFonts w:hint="eastAsia" w:ascii="宋体" w:hAnsi="宋体" w:cs="宋体"/>
                <w:kern w:val="0"/>
                <w:sz w:val="20"/>
                <w:highlight w:val="none"/>
              </w:rPr>
            </w:pPr>
            <w:r>
              <w:rPr>
                <w:rFonts w:ascii="宋体" w:hAnsi="宋体" w:cs="宋体"/>
                <w:kern w:val="0"/>
                <w:sz w:val="20"/>
                <w:highlight w:val="none"/>
              </w:rPr>
              <w:t>54.25</w:t>
            </w:r>
          </w:p>
        </w:tc>
        <w:tc>
          <w:tcPr>
            <w:tcW w:w="743" w:type="pct"/>
            <w:tcBorders>
              <w:top w:val="single" w:color="auto" w:sz="4" w:space="0"/>
              <w:left w:val="nil"/>
              <w:bottom w:val="single" w:color="auto" w:sz="4" w:space="0"/>
              <w:right w:val="single" w:color="auto" w:sz="4" w:space="0"/>
            </w:tcBorders>
            <w:shd w:val="clear" w:color="FFFFFF" w:fill="FFFFFF"/>
            <w:vAlign w:val="center"/>
          </w:tcPr>
          <w:p w14:paraId="0BE2EA77">
            <w:pPr>
              <w:widowControl/>
              <w:jc w:val="center"/>
              <w:rPr>
                <w:rFonts w:hint="eastAsia" w:ascii="宋体" w:hAnsi="宋体" w:cs="宋体"/>
                <w:kern w:val="0"/>
                <w:sz w:val="20"/>
                <w:highlight w:val="none"/>
              </w:rPr>
            </w:pPr>
            <w:r>
              <w:rPr>
                <w:rFonts w:ascii="宋体" w:hAnsi="宋体" w:cs="宋体"/>
                <w:kern w:val="0"/>
                <w:sz w:val="20"/>
                <w:highlight w:val="none"/>
              </w:rPr>
              <w:t>　</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1B498517">
            <w:pPr>
              <w:widowControl/>
              <w:jc w:val="center"/>
              <w:rPr>
                <w:rFonts w:hint="eastAsia" w:ascii="宋体" w:hAnsi="宋体" w:cs="宋体"/>
                <w:kern w:val="0"/>
                <w:sz w:val="20"/>
                <w:highlight w:val="none"/>
              </w:rPr>
            </w:pPr>
            <w:r>
              <w:rPr>
                <w:rFonts w:ascii="宋体" w:hAnsi="宋体" w:cs="宋体"/>
                <w:kern w:val="0"/>
                <w:sz w:val="20"/>
                <w:highlight w:val="none"/>
              </w:rPr>
              <w:t>　</w:t>
            </w:r>
          </w:p>
        </w:tc>
      </w:tr>
      <w:tr w14:paraId="35D5EB3C">
        <w:tblPrEx>
          <w:tblCellMar>
            <w:top w:w="0" w:type="dxa"/>
            <w:left w:w="108" w:type="dxa"/>
            <w:bottom w:w="0" w:type="dxa"/>
            <w:right w:w="108" w:type="dxa"/>
          </w:tblCellMar>
        </w:tblPrEx>
        <w:trPr>
          <w:trHeight w:val="570"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45641030">
            <w:pPr>
              <w:widowControl/>
              <w:jc w:val="center"/>
              <w:rPr>
                <w:rFonts w:hint="eastAsia" w:ascii="宋体" w:hAnsi="宋体" w:cs="宋体"/>
                <w:kern w:val="0"/>
                <w:sz w:val="20"/>
                <w:highlight w:val="none"/>
              </w:rPr>
            </w:pPr>
            <w:r>
              <w:rPr>
                <w:rFonts w:ascii="宋体" w:hAnsi="宋体" w:cs="宋体"/>
                <w:kern w:val="0"/>
                <w:sz w:val="20"/>
                <w:highlight w:val="none"/>
              </w:rPr>
              <w:t>10</w:t>
            </w:r>
          </w:p>
        </w:tc>
        <w:tc>
          <w:tcPr>
            <w:tcW w:w="1907" w:type="pct"/>
            <w:tcBorders>
              <w:top w:val="single" w:color="auto" w:sz="4" w:space="0"/>
              <w:left w:val="nil"/>
              <w:bottom w:val="single" w:color="auto" w:sz="4" w:space="0"/>
              <w:right w:val="single" w:color="auto" w:sz="4" w:space="0"/>
            </w:tcBorders>
            <w:shd w:val="clear" w:color="FFFFFF" w:fill="FFFFFF"/>
            <w:vAlign w:val="center"/>
          </w:tcPr>
          <w:p w14:paraId="2ACDDA14">
            <w:pPr>
              <w:widowControl/>
              <w:jc w:val="left"/>
              <w:rPr>
                <w:rFonts w:hint="eastAsia" w:ascii="宋体" w:hAnsi="宋体" w:cs="宋体"/>
                <w:kern w:val="0"/>
                <w:sz w:val="20"/>
                <w:highlight w:val="none"/>
              </w:rPr>
            </w:pPr>
            <w:r>
              <w:rPr>
                <w:rFonts w:ascii="宋体" w:hAnsi="宋体" w:cs="宋体"/>
                <w:kern w:val="0"/>
                <w:sz w:val="20"/>
                <w:highlight w:val="none"/>
              </w:rPr>
              <w:t>推土机推土(一、二类土) 推土距离30~40m</w:t>
            </w:r>
          </w:p>
        </w:tc>
        <w:tc>
          <w:tcPr>
            <w:tcW w:w="450" w:type="pct"/>
            <w:gridSpan w:val="2"/>
            <w:tcBorders>
              <w:top w:val="single" w:color="auto" w:sz="4" w:space="0"/>
              <w:left w:val="nil"/>
              <w:bottom w:val="single" w:color="auto" w:sz="4" w:space="0"/>
              <w:right w:val="single" w:color="auto" w:sz="4" w:space="0"/>
            </w:tcBorders>
            <w:shd w:val="clear" w:color="FFFFFF" w:fill="FFFFFF"/>
            <w:vAlign w:val="center"/>
          </w:tcPr>
          <w:p w14:paraId="36340689">
            <w:pPr>
              <w:widowControl/>
              <w:jc w:val="center"/>
              <w:rPr>
                <w:rFonts w:hint="eastAsia" w:ascii="宋体" w:hAnsi="宋体" w:cs="宋体"/>
                <w:kern w:val="0"/>
                <w:sz w:val="20"/>
                <w:highlight w:val="none"/>
              </w:rPr>
            </w:pPr>
            <w:r>
              <w:rPr>
                <w:rFonts w:ascii="宋体" w:hAnsi="宋体" w:cs="宋体"/>
                <w:kern w:val="0"/>
                <w:sz w:val="20"/>
                <w:highlight w:val="none"/>
              </w:rPr>
              <w:t>100m3</w:t>
            </w:r>
          </w:p>
        </w:tc>
        <w:tc>
          <w:tcPr>
            <w:tcW w:w="626" w:type="pct"/>
            <w:tcBorders>
              <w:top w:val="single" w:color="auto" w:sz="4" w:space="0"/>
              <w:left w:val="nil"/>
              <w:bottom w:val="single" w:color="auto" w:sz="4" w:space="0"/>
              <w:right w:val="single" w:color="auto" w:sz="4" w:space="0"/>
            </w:tcBorders>
            <w:shd w:val="clear" w:color="FFFFFF" w:fill="FFFFFF"/>
            <w:vAlign w:val="center"/>
          </w:tcPr>
          <w:p w14:paraId="04EB8460">
            <w:pPr>
              <w:widowControl/>
              <w:jc w:val="center"/>
              <w:rPr>
                <w:rFonts w:hint="eastAsia" w:ascii="宋体" w:hAnsi="宋体" w:cs="宋体"/>
                <w:kern w:val="0"/>
                <w:sz w:val="20"/>
                <w:highlight w:val="none"/>
              </w:rPr>
            </w:pPr>
            <w:r>
              <w:rPr>
                <w:rFonts w:ascii="宋体" w:hAnsi="宋体" w:cs="宋体"/>
                <w:kern w:val="0"/>
                <w:sz w:val="20"/>
                <w:highlight w:val="none"/>
              </w:rPr>
              <w:t>166.87</w:t>
            </w:r>
          </w:p>
        </w:tc>
        <w:tc>
          <w:tcPr>
            <w:tcW w:w="743" w:type="pct"/>
            <w:tcBorders>
              <w:top w:val="single" w:color="auto" w:sz="4" w:space="0"/>
              <w:left w:val="nil"/>
              <w:bottom w:val="single" w:color="auto" w:sz="4" w:space="0"/>
              <w:right w:val="single" w:color="auto" w:sz="4" w:space="0"/>
            </w:tcBorders>
            <w:shd w:val="clear" w:color="FFFFFF" w:fill="FFFFFF"/>
            <w:vAlign w:val="center"/>
          </w:tcPr>
          <w:p w14:paraId="5A41F8BE">
            <w:pPr>
              <w:widowControl/>
              <w:jc w:val="center"/>
              <w:rPr>
                <w:rFonts w:hint="eastAsia" w:ascii="宋体" w:hAnsi="宋体" w:cs="宋体"/>
                <w:kern w:val="0"/>
                <w:sz w:val="20"/>
                <w:highlight w:val="none"/>
              </w:rPr>
            </w:pPr>
            <w:r>
              <w:rPr>
                <w:rFonts w:ascii="宋体" w:hAnsi="宋体" w:cs="宋体"/>
                <w:kern w:val="0"/>
                <w:sz w:val="20"/>
                <w:highlight w:val="none"/>
              </w:rPr>
              <w:t>　</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2FF06EC3">
            <w:pPr>
              <w:widowControl/>
              <w:jc w:val="center"/>
              <w:rPr>
                <w:rFonts w:hint="eastAsia" w:ascii="宋体" w:hAnsi="宋体" w:cs="宋体"/>
                <w:kern w:val="0"/>
                <w:sz w:val="20"/>
                <w:highlight w:val="none"/>
              </w:rPr>
            </w:pPr>
            <w:r>
              <w:rPr>
                <w:rFonts w:ascii="宋体" w:hAnsi="宋体" w:cs="宋体"/>
                <w:kern w:val="0"/>
                <w:sz w:val="20"/>
                <w:highlight w:val="none"/>
              </w:rPr>
              <w:t>　</w:t>
            </w:r>
          </w:p>
        </w:tc>
      </w:tr>
      <w:tr w14:paraId="4B1C1EE6">
        <w:tblPrEx>
          <w:tblCellMar>
            <w:top w:w="0" w:type="dxa"/>
            <w:left w:w="108" w:type="dxa"/>
            <w:bottom w:w="0" w:type="dxa"/>
            <w:right w:w="108" w:type="dxa"/>
          </w:tblCellMar>
        </w:tblPrEx>
        <w:trPr>
          <w:trHeight w:val="570"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6AAE1FB5">
            <w:pPr>
              <w:widowControl/>
              <w:jc w:val="center"/>
              <w:rPr>
                <w:rFonts w:hint="eastAsia" w:ascii="宋体" w:hAnsi="宋体" w:cs="宋体"/>
                <w:kern w:val="0"/>
                <w:sz w:val="20"/>
                <w:highlight w:val="none"/>
              </w:rPr>
            </w:pPr>
            <w:r>
              <w:rPr>
                <w:rFonts w:ascii="宋体" w:hAnsi="宋体" w:cs="宋体"/>
                <w:kern w:val="0"/>
                <w:sz w:val="20"/>
                <w:highlight w:val="none"/>
              </w:rPr>
              <w:t>11</w:t>
            </w:r>
          </w:p>
        </w:tc>
        <w:tc>
          <w:tcPr>
            <w:tcW w:w="1907" w:type="pct"/>
            <w:tcBorders>
              <w:top w:val="single" w:color="auto" w:sz="4" w:space="0"/>
              <w:left w:val="nil"/>
              <w:bottom w:val="single" w:color="auto" w:sz="4" w:space="0"/>
              <w:right w:val="single" w:color="auto" w:sz="4" w:space="0"/>
            </w:tcBorders>
            <w:shd w:val="clear" w:color="FFFFFF" w:fill="FFFFFF"/>
            <w:vAlign w:val="center"/>
          </w:tcPr>
          <w:p w14:paraId="35034476">
            <w:pPr>
              <w:widowControl/>
              <w:jc w:val="left"/>
              <w:rPr>
                <w:rFonts w:hint="eastAsia" w:ascii="宋体" w:hAnsi="宋体" w:cs="宋体"/>
                <w:kern w:val="0"/>
                <w:sz w:val="20"/>
                <w:highlight w:val="none"/>
              </w:rPr>
            </w:pPr>
            <w:r>
              <w:rPr>
                <w:rFonts w:ascii="宋体" w:hAnsi="宋体" w:cs="宋体"/>
                <w:kern w:val="0"/>
                <w:sz w:val="20"/>
                <w:highlight w:val="none"/>
              </w:rPr>
              <w:t>推土机推土(一、二类土) 推土距离40~50m</w:t>
            </w:r>
          </w:p>
        </w:tc>
        <w:tc>
          <w:tcPr>
            <w:tcW w:w="450" w:type="pct"/>
            <w:gridSpan w:val="2"/>
            <w:tcBorders>
              <w:top w:val="single" w:color="auto" w:sz="4" w:space="0"/>
              <w:left w:val="nil"/>
              <w:bottom w:val="single" w:color="auto" w:sz="4" w:space="0"/>
              <w:right w:val="single" w:color="auto" w:sz="4" w:space="0"/>
            </w:tcBorders>
            <w:shd w:val="clear" w:color="FFFFFF" w:fill="FFFFFF"/>
            <w:vAlign w:val="center"/>
          </w:tcPr>
          <w:p w14:paraId="5966374F">
            <w:pPr>
              <w:widowControl/>
              <w:jc w:val="center"/>
              <w:rPr>
                <w:rFonts w:hint="eastAsia" w:ascii="宋体" w:hAnsi="宋体" w:cs="宋体"/>
                <w:kern w:val="0"/>
                <w:sz w:val="20"/>
                <w:highlight w:val="none"/>
              </w:rPr>
            </w:pPr>
            <w:r>
              <w:rPr>
                <w:rFonts w:ascii="宋体" w:hAnsi="宋体" w:cs="宋体"/>
                <w:kern w:val="0"/>
                <w:sz w:val="20"/>
                <w:highlight w:val="none"/>
              </w:rPr>
              <w:t>100m3</w:t>
            </w:r>
          </w:p>
        </w:tc>
        <w:tc>
          <w:tcPr>
            <w:tcW w:w="626" w:type="pct"/>
            <w:tcBorders>
              <w:top w:val="single" w:color="auto" w:sz="4" w:space="0"/>
              <w:left w:val="nil"/>
              <w:bottom w:val="single" w:color="auto" w:sz="4" w:space="0"/>
              <w:right w:val="single" w:color="auto" w:sz="4" w:space="0"/>
            </w:tcBorders>
            <w:shd w:val="clear" w:color="FFFFFF" w:fill="FFFFFF"/>
            <w:vAlign w:val="center"/>
          </w:tcPr>
          <w:p w14:paraId="4164C6BD">
            <w:pPr>
              <w:widowControl/>
              <w:jc w:val="center"/>
              <w:rPr>
                <w:rFonts w:hint="eastAsia" w:ascii="宋体" w:hAnsi="宋体" w:cs="宋体"/>
                <w:kern w:val="0"/>
                <w:sz w:val="20"/>
                <w:highlight w:val="none"/>
              </w:rPr>
            </w:pPr>
            <w:r>
              <w:rPr>
                <w:rFonts w:ascii="宋体" w:hAnsi="宋体" w:cs="宋体"/>
                <w:kern w:val="0"/>
                <w:sz w:val="20"/>
                <w:highlight w:val="none"/>
              </w:rPr>
              <w:t>27.86</w:t>
            </w:r>
          </w:p>
        </w:tc>
        <w:tc>
          <w:tcPr>
            <w:tcW w:w="743" w:type="pct"/>
            <w:tcBorders>
              <w:top w:val="single" w:color="auto" w:sz="4" w:space="0"/>
              <w:left w:val="nil"/>
              <w:bottom w:val="single" w:color="auto" w:sz="4" w:space="0"/>
              <w:right w:val="single" w:color="auto" w:sz="4" w:space="0"/>
            </w:tcBorders>
            <w:shd w:val="clear" w:color="FFFFFF" w:fill="FFFFFF"/>
            <w:vAlign w:val="center"/>
          </w:tcPr>
          <w:p w14:paraId="52290FDC">
            <w:pPr>
              <w:widowControl/>
              <w:jc w:val="center"/>
              <w:rPr>
                <w:rFonts w:hint="eastAsia" w:ascii="宋体" w:hAnsi="宋体" w:cs="宋体"/>
                <w:kern w:val="0"/>
                <w:sz w:val="20"/>
                <w:highlight w:val="none"/>
              </w:rPr>
            </w:pPr>
            <w:r>
              <w:rPr>
                <w:rFonts w:ascii="宋体" w:hAnsi="宋体" w:cs="宋体"/>
                <w:kern w:val="0"/>
                <w:sz w:val="20"/>
                <w:highlight w:val="none"/>
              </w:rPr>
              <w:t>　</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0C52448A">
            <w:pPr>
              <w:widowControl/>
              <w:jc w:val="center"/>
              <w:rPr>
                <w:rFonts w:hint="eastAsia" w:ascii="宋体" w:hAnsi="宋体" w:cs="宋体"/>
                <w:kern w:val="0"/>
                <w:sz w:val="20"/>
                <w:highlight w:val="none"/>
              </w:rPr>
            </w:pPr>
            <w:r>
              <w:rPr>
                <w:rFonts w:ascii="宋体" w:hAnsi="宋体" w:cs="宋体"/>
                <w:kern w:val="0"/>
                <w:sz w:val="20"/>
                <w:highlight w:val="none"/>
              </w:rPr>
              <w:t>　</w:t>
            </w:r>
          </w:p>
        </w:tc>
      </w:tr>
      <w:tr w14:paraId="41C7438F">
        <w:tblPrEx>
          <w:tblCellMar>
            <w:top w:w="0" w:type="dxa"/>
            <w:left w:w="108" w:type="dxa"/>
            <w:bottom w:w="0" w:type="dxa"/>
            <w:right w:w="108" w:type="dxa"/>
          </w:tblCellMar>
        </w:tblPrEx>
        <w:trPr>
          <w:trHeight w:val="570"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10DA434F">
            <w:pPr>
              <w:widowControl/>
              <w:jc w:val="center"/>
              <w:rPr>
                <w:rFonts w:hint="eastAsia" w:ascii="宋体" w:hAnsi="宋体" w:cs="宋体"/>
                <w:kern w:val="0"/>
                <w:sz w:val="20"/>
                <w:highlight w:val="none"/>
              </w:rPr>
            </w:pPr>
            <w:r>
              <w:rPr>
                <w:rFonts w:ascii="宋体" w:hAnsi="宋体" w:cs="宋体"/>
                <w:kern w:val="0"/>
                <w:sz w:val="20"/>
                <w:highlight w:val="none"/>
              </w:rPr>
              <w:t>12</w:t>
            </w:r>
          </w:p>
        </w:tc>
        <w:tc>
          <w:tcPr>
            <w:tcW w:w="1907" w:type="pct"/>
            <w:tcBorders>
              <w:top w:val="single" w:color="auto" w:sz="4" w:space="0"/>
              <w:left w:val="nil"/>
              <w:bottom w:val="single" w:color="auto" w:sz="4" w:space="0"/>
              <w:right w:val="single" w:color="auto" w:sz="4" w:space="0"/>
            </w:tcBorders>
            <w:vAlign w:val="center"/>
          </w:tcPr>
          <w:p w14:paraId="2054FACD">
            <w:pPr>
              <w:widowControl/>
              <w:jc w:val="left"/>
              <w:rPr>
                <w:rFonts w:hint="eastAsia" w:ascii="宋体" w:hAnsi="宋体" w:cs="宋体"/>
                <w:kern w:val="0"/>
                <w:sz w:val="20"/>
                <w:highlight w:val="none"/>
              </w:rPr>
            </w:pPr>
            <w:r>
              <w:rPr>
                <w:rFonts w:ascii="宋体" w:hAnsi="宋体" w:cs="宋体"/>
                <w:kern w:val="0"/>
                <w:sz w:val="20"/>
                <w:highlight w:val="none"/>
              </w:rPr>
              <w:t>推土机推土(一、二类土) 推土距离50~60m</w:t>
            </w:r>
          </w:p>
        </w:tc>
        <w:tc>
          <w:tcPr>
            <w:tcW w:w="450" w:type="pct"/>
            <w:gridSpan w:val="2"/>
            <w:tcBorders>
              <w:top w:val="single" w:color="auto" w:sz="4" w:space="0"/>
              <w:left w:val="nil"/>
              <w:bottom w:val="single" w:color="auto" w:sz="4" w:space="0"/>
              <w:right w:val="single" w:color="auto" w:sz="4" w:space="0"/>
            </w:tcBorders>
            <w:vAlign w:val="center"/>
          </w:tcPr>
          <w:p w14:paraId="772660C9">
            <w:pPr>
              <w:widowControl/>
              <w:jc w:val="center"/>
              <w:rPr>
                <w:rFonts w:hint="eastAsia" w:ascii="宋体" w:hAnsi="宋体" w:cs="宋体"/>
                <w:kern w:val="0"/>
                <w:sz w:val="20"/>
                <w:highlight w:val="none"/>
              </w:rPr>
            </w:pPr>
            <w:r>
              <w:rPr>
                <w:rFonts w:ascii="宋体" w:hAnsi="宋体" w:cs="宋体"/>
                <w:kern w:val="0"/>
                <w:sz w:val="20"/>
                <w:highlight w:val="none"/>
              </w:rPr>
              <w:t>100m3</w:t>
            </w:r>
          </w:p>
        </w:tc>
        <w:tc>
          <w:tcPr>
            <w:tcW w:w="626" w:type="pct"/>
            <w:tcBorders>
              <w:top w:val="single" w:color="auto" w:sz="4" w:space="0"/>
              <w:left w:val="nil"/>
              <w:bottom w:val="single" w:color="auto" w:sz="4" w:space="0"/>
              <w:right w:val="single" w:color="auto" w:sz="4" w:space="0"/>
            </w:tcBorders>
            <w:shd w:val="clear" w:color="FFFFFF" w:fill="FFFFFF"/>
            <w:vAlign w:val="center"/>
          </w:tcPr>
          <w:p w14:paraId="165C08D1">
            <w:pPr>
              <w:widowControl/>
              <w:jc w:val="center"/>
              <w:rPr>
                <w:rFonts w:hint="eastAsia" w:ascii="宋体" w:hAnsi="宋体" w:cs="宋体"/>
                <w:kern w:val="0"/>
                <w:sz w:val="20"/>
                <w:highlight w:val="none"/>
              </w:rPr>
            </w:pPr>
            <w:r>
              <w:rPr>
                <w:rFonts w:ascii="宋体" w:hAnsi="宋体" w:cs="宋体"/>
                <w:kern w:val="0"/>
                <w:sz w:val="20"/>
                <w:highlight w:val="none"/>
              </w:rPr>
              <w:t>2851.3</w:t>
            </w:r>
          </w:p>
        </w:tc>
        <w:tc>
          <w:tcPr>
            <w:tcW w:w="743" w:type="pct"/>
            <w:tcBorders>
              <w:top w:val="single" w:color="auto" w:sz="4" w:space="0"/>
              <w:left w:val="nil"/>
              <w:bottom w:val="single" w:color="auto" w:sz="4" w:space="0"/>
              <w:right w:val="single" w:color="auto" w:sz="4" w:space="0"/>
            </w:tcBorders>
            <w:shd w:val="clear" w:color="FFFFFF" w:fill="FFFFFF"/>
            <w:vAlign w:val="center"/>
          </w:tcPr>
          <w:p w14:paraId="63CAEEE6">
            <w:pPr>
              <w:widowControl/>
              <w:jc w:val="center"/>
              <w:rPr>
                <w:rFonts w:hint="eastAsia" w:ascii="宋体" w:hAnsi="宋体" w:cs="宋体"/>
                <w:kern w:val="0"/>
                <w:sz w:val="20"/>
                <w:highlight w:val="none"/>
              </w:rPr>
            </w:pPr>
            <w:r>
              <w:rPr>
                <w:rFonts w:ascii="宋体" w:hAnsi="宋体" w:cs="宋体"/>
                <w:kern w:val="0"/>
                <w:sz w:val="20"/>
                <w:highlight w:val="none"/>
              </w:rPr>
              <w:t>　</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7B3BD780">
            <w:pPr>
              <w:widowControl/>
              <w:jc w:val="center"/>
              <w:rPr>
                <w:rFonts w:hint="eastAsia" w:ascii="宋体" w:hAnsi="宋体" w:cs="宋体"/>
                <w:kern w:val="0"/>
                <w:sz w:val="20"/>
                <w:highlight w:val="none"/>
              </w:rPr>
            </w:pPr>
            <w:r>
              <w:rPr>
                <w:rFonts w:ascii="宋体" w:hAnsi="宋体" w:cs="宋体"/>
                <w:kern w:val="0"/>
                <w:sz w:val="20"/>
                <w:highlight w:val="none"/>
              </w:rPr>
              <w:t>　</w:t>
            </w:r>
          </w:p>
        </w:tc>
      </w:tr>
      <w:tr w14:paraId="5D1721A1">
        <w:tblPrEx>
          <w:tblCellMar>
            <w:top w:w="0" w:type="dxa"/>
            <w:left w:w="108" w:type="dxa"/>
            <w:bottom w:w="0" w:type="dxa"/>
            <w:right w:w="108" w:type="dxa"/>
          </w:tblCellMar>
        </w:tblPrEx>
        <w:trPr>
          <w:trHeight w:val="570"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14779ABF">
            <w:pPr>
              <w:widowControl/>
              <w:jc w:val="center"/>
              <w:rPr>
                <w:rFonts w:hint="eastAsia" w:ascii="宋体" w:hAnsi="宋体" w:cs="宋体"/>
                <w:kern w:val="0"/>
                <w:sz w:val="20"/>
                <w:highlight w:val="none"/>
              </w:rPr>
            </w:pPr>
            <w:r>
              <w:rPr>
                <w:rFonts w:ascii="宋体" w:hAnsi="宋体" w:cs="宋体"/>
                <w:kern w:val="0"/>
                <w:sz w:val="20"/>
                <w:highlight w:val="none"/>
              </w:rPr>
              <w:t>13</w:t>
            </w:r>
          </w:p>
        </w:tc>
        <w:tc>
          <w:tcPr>
            <w:tcW w:w="1907" w:type="pct"/>
            <w:tcBorders>
              <w:top w:val="single" w:color="auto" w:sz="4" w:space="0"/>
              <w:left w:val="nil"/>
              <w:bottom w:val="single" w:color="auto" w:sz="4" w:space="0"/>
              <w:right w:val="single" w:color="auto" w:sz="4" w:space="0"/>
            </w:tcBorders>
            <w:vAlign w:val="center"/>
          </w:tcPr>
          <w:p w14:paraId="4B78440A">
            <w:pPr>
              <w:widowControl/>
              <w:jc w:val="left"/>
              <w:rPr>
                <w:rFonts w:hint="eastAsia" w:ascii="宋体" w:hAnsi="宋体" w:cs="宋体"/>
                <w:kern w:val="0"/>
                <w:sz w:val="20"/>
                <w:highlight w:val="none"/>
              </w:rPr>
            </w:pPr>
            <w:r>
              <w:rPr>
                <w:rFonts w:ascii="宋体" w:hAnsi="宋体" w:cs="宋体"/>
                <w:kern w:val="0"/>
                <w:sz w:val="20"/>
                <w:highlight w:val="none"/>
              </w:rPr>
              <w:t>推土机推土(一、二类土) 推土距离50~60m</w:t>
            </w:r>
          </w:p>
        </w:tc>
        <w:tc>
          <w:tcPr>
            <w:tcW w:w="450" w:type="pct"/>
            <w:gridSpan w:val="2"/>
            <w:tcBorders>
              <w:top w:val="single" w:color="auto" w:sz="4" w:space="0"/>
              <w:left w:val="nil"/>
              <w:bottom w:val="single" w:color="auto" w:sz="4" w:space="0"/>
              <w:right w:val="single" w:color="auto" w:sz="4" w:space="0"/>
            </w:tcBorders>
            <w:vAlign w:val="center"/>
          </w:tcPr>
          <w:p w14:paraId="5FD70561">
            <w:pPr>
              <w:widowControl/>
              <w:jc w:val="center"/>
              <w:rPr>
                <w:rFonts w:hint="eastAsia" w:ascii="宋体" w:hAnsi="宋体" w:cs="宋体"/>
                <w:kern w:val="0"/>
                <w:sz w:val="20"/>
                <w:highlight w:val="none"/>
              </w:rPr>
            </w:pPr>
            <w:r>
              <w:rPr>
                <w:rFonts w:ascii="宋体" w:hAnsi="宋体" w:cs="宋体"/>
                <w:kern w:val="0"/>
                <w:sz w:val="20"/>
                <w:highlight w:val="none"/>
              </w:rPr>
              <w:t>100m3</w:t>
            </w:r>
          </w:p>
        </w:tc>
        <w:tc>
          <w:tcPr>
            <w:tcW w:w="626" w:type="pct"/>
            <w:tcBorders>
              <w:top w:val="single" w:color="auto" w:sz="4" w:space="0"/>
              <w:left w:val="nil"/>
              <w:bottom w:val="single" w:color="auto" w:sz="4" w:space="0"/>
              <w:right w:val="single" w:color="auto" w:sz="4" w:space="0"/>
            </w:tcBorders>
            <w:vAlign w:val="center"/>
          </w:tcPr>
          <w:p w14:paraId="56F63A98">
            <w:pPr>
              <w:widowControl/>
              <w:jc w:val="center"/>
              <w:rPr>
                <w:rFonts w:hint="eastAsia" w:ascii="宋体" w:hAnsi="宋体" w:cs="宋体"/>
                <w:kern w:val="0"/>
                <w:sz w:val="20"/>
                <w:highlight w:val="none"/>
              </w:rPr>
            </w:pPr>
            <w:r>
              <w:rPr>
                <w:rFonts w:ascii="宋体" w:hAnsi="宋体" w:cs="宋体"/>
                <w:kern w:val="0"/>
                <w:sz w:val="20"/>
                <w:highlight w:val="none"/>
              </w:rPr>
              <w:t>2851.3</w:t>
            </w:r>
          </w:p>
        </w:tc>
        <w:tc>
          <w:tcPr>
            <w:tcW w:w="743" w:type="pct"/>
            <w:tcBorders>
              <w:top w:val="single" w:color="auto" w:sz="4" w:space="0"/>
              <w:left w:val="nil"/>
              <w:bottom w:val="single" w:color="auto" w:sz="4" w:space="0"/>
              <w:right w:val="single" w:color="auto" w:sz="4" w:space="0"/>
            </w:tcBorders>
            <w:shd w:val="clear" w:color="FFFFFF" w:fill="FFFFFF"/>
            <w:vAlign w:val="center"/>
          </w:tcPr>
          <w:p w14:paraId="3F32C9B0">
            <w:pPr>
              <w:widowControl/>
              <w:jc w:val="center"/>
              <w:rPr>
                <w:rFonts w:hint="eastAsia" w:ascii="宋体" w:hAnsi="宋体" w:cs="宋体"/>
                <w:kern w:val="0"/>
                <w:sz w:val="20"/>
                <w:highlight w:val="none"/>
              </w:rPr>
            </w:pPr>
            <w:r>
              <w:rPr>
                <w:rFonts w:ascii="宋体" w:hAnsi="宋体" w:cs="宋体"/>
                <w:kern w:val="0"/>
                <w:sz w:val="20"/>
                <w:highlight w:val="none"/>
              </w:rPr>
              <w:t>　</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1A703111">
            <w:pPr>
              <w:widowControl/>
              <w:jc w:val="center"/>
              <w:rPr>
                <w:rFonts w:hint="eastAsia" w:ascii="宋体" w:hAnsi="宋体" w:cs="宋体"/>
                <w:kern w:val="0"/>
                <w:sz w:val="20"/>
                <w:highlight w:val="none"/>
              </w:rPr>
            </w:pPr>
            <w:r>
              <w:rPr>
                <w:rFonts w:ascii="宋体" w:hAnsi="宋体" w:cs="宋体"/>
                <w:kern w:val="0"/>
                <w:sz w:val="20"/>
                <w:highlight w:val="none"/>
              </w:rPr>
              <w:t>　</w:t>
            </w:r>
          </w:p>
        </w:tc>
      </w:tr>
      <w:tr w14:paraId="4560E293">
        <w:tblPrEx>
          <w:tblCellMar>
            <w:top w:w="0" w:type="dxa"/>
            <w:left w:w="108" w:type="dxa"/>
            <w:bottom w:w="0" w:type="dxa"/>
            <w:right w:w="108" w:type="dxa"/>
          </w:tblCellMar>
        </w:tblPrEx>
        <w:trPr>
          <w:trHeight w:val="570"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5B721021">
            <w:pPr>
              <w:widowControl/>
              <w:jc w:val="center"/>
              <w:rPr>
                <w:rFonts w:hint="eastAsia" w:ascii="宋体" w:hAnsi="宋体" w:cs="宋体"/>
                <w:kern w:val="0"/>
                <w:sz w:val="20"/>
                <w:highlight w:val="none"/>
              </w:rPr>
            </w:pPr>
            <w:r>
              <w:rPr>
                <w:rFonts w:ascii="宋体" w:hAnsi="宋体" w:cs="宋体"/>
                <w:kern w:val="0"/>
                <w:sz w:val="20"/>
                <w:highlight w:val="none"/>
              </w:rPr>
              <w:t>14</w:t>
            </w:r>
          </w:p>
        </w:tc>
        <w:tc>
          <w:tcPr>
            <w:tcW w:w="1907" w:type="pct"/>
            <w:tcBorders>
              <w:top w:val="single" w:color="auto" w:sz="4" w:space="0"/>
              <w:left w:val="nil"/>
              <w:bottom w:val="single" w:color="auto" w:sz="4" w:space="0"/>
              <w:right w:val="single" w:color="auto" w:sz="4" w:space="0"/>
            </w:tcBorders>
            <w:vAlign w:val="center"/>
          </w:tcPr>
          <w:p w14:paraId="41E19861">
            <w:pPr>
              <w:widowControl/>
              <w:jc w:val="left"/>
              <w:rPr>
                <w:rFonts w:hint="eastAsia" w:ascii="宋体" w:hAnsi="宋体" w:cs="宋体"/>
                <w:kern w:val="0"/>
                <w:sz w:val="20"/>
                <w:highlight w:val="none"/>
              </w:rPr>
            </w:pPr>
            <w:r>
              <w:rPr>
                <w:rFonts w:ascii="宋体" w:hAnsi="宋体" w:cs="宋体"/>
                <w:kern w:val="0"/>
                <w:sz w:val="20"/>
                <w:highlight w:val="none"/>
              </w:rPr>
              <w:t>推土机推土(一、二类土) 推土距离50~60m</w:t>
            </w:r>
          </w:p>
        </w:tc>
        <w:tc>
          <w:tcPr>
            <w:tcW w:w="450" w:type="pct"/>
            <w:gridSpan w:val="2"/>
            <w:tcBorders>
              <w:top w:val="single" w:color="auto" w:sz="4" w:space="0"/>
              <w:left w:val="nil"/>
              <w:bottom w:val="single" w:color="auto" w:sz="4" w:space="0"/>
              <w:right w:val="single" w:color="auto" w:sz="4" w:space="0"/>
            </w:tcBorders>
            <w:vAlign w:val="center"/>
          </w:tcPr>
          <w:p w14:paraId="069FABA4">
            <w:pPr>
              <w:widowControl/>
              <w:jc w:val="center"/>
              <w:rPr>
                <w:rFonts w:hint="eastAsia" w:ascii="宋体" w:hAnsi="宋体" w:cs="宋体"/>
                <w:kern w:val="0"/>
                <w:sz w:val="20"/>
                <w:highlight w:val="none"/>
              </w:rPr>
            </w:pPr>
            <w:r>
              <w:rPr>
                <w:rFonts w:ascii="宋体" w:hAnsi="宋体" w:cs="宋体"/>
                <w:kern w:val="0"/>
                <w:sz w:val="20"/>
                <w:highlight w:val="none"/>
              </w:rPr>
              <w:t>100m3</w:t>
            </w:r>
          </w:p>
        </w:tc>
        <w:tc>
          <w:tcPr>
            <w:tcW w:w="626" w:type="pct"/>
            <w:tcBorders>
              <w:top w:val="single" w:color="auto" w:sz="4" w:space="0"/>
              <w:left w:val="nil"/>
              <w:bottom w:val="single" w:color="auto" w:sz="4" w:space="0"/>
              <w:right w:val="single" w:color="auto" w:sz="4" w:space="0"/>
            </w:tcBorders>
            <w:vAlign w:val="center"/>
          </w:tcPr>
          <w:p w14:paraId="3688635B">
            <w:pPr>
              <w:widowControl/>
              <w:jc w:val="center"/>
              <w:rPr>
                <w:rFonts w:hint="eastAsia" w:ascii="宋体" w:hAnsi="宋体" w:cs="宋体"/>
                <w:kern w:val="0"/>
                <w:sz w:val="20"/>
                <w:highlight w:val="none"/>
              </w:rPr>
            </w:pPr>
            <w:r>
              <w:rPr>
                <w:rFonts w:ascii="宋体" w:hAnsi="宋体" w:cs="宋体"/>
                <w:kern w:val="0"/>
                <w:sz w:val="20"/>
                <w:highlight w:val="none"/>
              </w:rPr>
              <w:t>192.87</w:t>
            </w:r>
          </w:p>
        </w:tc>
        <w:tc>
          <w:tcPr>
            <w:tcW w:w="743" w:type="pct"/>
            <w:tcBorders>
              <w:top w:val="single" w:color="auto" w:sz="4" w:space="0"/>
              <w:left w:val="nil"/>
              <w:bottom w:val="single" w:color="auto" w:sz="4" w:space="0"/>
              <w:right w:val="single" w:color="auto" w:sz="4" w:space="0"/>
            </w:tcBorders>
            <w:shd w:val="clear" w:color="FFFFFF" w:fill="FFFFFF"/>
            <w:vAlign w:val="center"/>
          </w:tcPr>
          <w:p w14:paraId="29587D6A">
            <w:pPr>
              <w:widowControl/>
              <w:jc w:val="center"/>
              <w:rPr>
                <w:rFonts w:hint="eastAsia" w:ascii="宋体" w:hAnsi="宋体" w:cs="宋体"/>
                <w:kern w:val="0"/>
                <w:sz w:val="20"/>
                <w:highlight w:val="none"/>
              </w:rPr>
            </w:pPr>
            <w:r>
              <w:rPr>
                <w:rFonts w:ascii="宋体" w:hAnsi="宋体" w:cs="宋体"/>
                <w:kern w:val="0"/>
                <w:sz w:val="20"/>
                <w:highlight w:val="none"/>
              </w:rPr>
              <w:t>　</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42D01FCD">
            <w:pPr>
              <w:widowControl/>
              <w:jc w:val="center"/>
              <w:rPr>
                <w:rFonts w:hint="eastAsia" w:ascii="宋体" w:hAnsi="宋体" w:cs="宋体"/>
                <w:kern w:val="0"/>
                <w:sz w:val="20"/>
                <w:highlight w:val="none"/>
              </w:rPr>
            </w:pPr>
            <w:r>
              <w:rPr>
                <w:rFonts w:ascii="宋体" w:hAnsi="宋体" w:cs="宋体"/>
                <w:kern w:val="0"/>
                <w:sz w:val="20"/>
                <w:highlight w:val="none"/>
              </w:rPr>
              <w:t>　</w:t>
            </w:r>
          </w:p>
        </w:tc>
      </w:tr>
      <w:tr w14:paraId="4A8BEC5B">
        <w:tblPrEx>
          <w:tblCellMar>
            <w:top w:w="0" w:type="dxa"/>
            <w:left w:w="108" w:type="dxa"/>
            <w:bottom w:w="0" w:type="dxa"/>
            <w:right w:w="108" w:type="dxa"/>
          </w:tblCellMar>
        </w:tblPrEx>
        <w:trPr>
          <w:trHeight w:val="570"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30E0F8D8">
            <w:pPr>
              <w:widowControl/>
              <w:jc w:val="center"/>
              <w:rPr>
                <w:rFonts w:hint="eastAsia" w:ascii="宋体" w:hAnsi="宋体" w:cs="宋体"/>
                <w:kern w:val="0"/>
                <w:sz w:val="20"/>
                <w:highlight w:val="none"/>
              </w:rPr>
            </w:pPr>
            <w:r>
              <w:rPr>
                <w:rFonts w:ascii="宋体" w:hAnsi="宋体" w:cs="宋体"/>
                <w:kern w:val="0"/>
                <w:sz w:val="20"/>
                <w:highlight w:val="none"/>
              </w:rPr>
              <w:t>15</w:t>
            </w:r>
          </w:p>
        </w:tc>
        <w:tc>
          <w:tcPr>
            <w:tcW w:w="1907" w:type="pct"/>
            <w:tcBorders>
              <w:top w:val="single" w:color="auto" w:sz="4" w:space="0"/>
              <w:left w:val="nil"/>
              <w:bottom w:val="single" w:color="auto" w:sz="4" w:space="0"/>
              <w:right w:val="single" w:color="auto" w:sz="4" w:space="0"/>
            </w:tcBorders>
            <w:vAlign w:val="center"/>
          </w:tcPr>
          <w:p w14:paraId="41B74F55">
            <w:pPr>
              <w:widowControl/>
              <w:jc w:val="left"/>
              <w:rPr>
                <w:rFonts w:hint="eastAsia" w:ascii="宋体" w:hAnsi="宋体" w:cs="宋体"/>
                <w:kern w:val="0"/>
                <w:sz w:val="20"/>
                <w:highlight w:val="none"/>
              </w:rPr>
            </w:pPr>
            <w:r>
              <w:rPr>
                <w:rFonts w:ascii="宋体" w:hAnsi="宋体" w:cs="宋体"/>
                <w:kern w:val="0"/>
                <w:sz w:val="20"/>
                <w:highlight w:val="none"/>
              </w:rPr>
              <w:t>推土机推土(一、二类土) 推土距离60~70m</w:t>
            </w:r>
          </w:p>
        </w:tc>
        <w:tc>
          <w:tcPr>
            <w:tcW w:w="450" w:type="pct"/>
            <w:gridSpan w:val="2"/>
            <w:tcBorders>
              <w:top w:val="single" w:color="auto" w:sz="4" w:space="0"/>
              <w:left w:val="nil"/>
              <w:bottom w:val="single" w:color="auto" w:sz="4" w:space="0"/>
              <w:right w:val="single" w:color="auto" w:sz="4" w:space="0"/>
            </w:tcBorders>
            <w:vAlign w:val="center"/>
          </w:tcPr>
          <w:p w14:paraId="306B5A0E">
            <w:pPr>
              <w:widowControl/>
              <w:jc w:val="center"/>
              <w:rPr>
                <w:rFonts w:hint="eastAsia" w:ascii="宋体" w:hAnsi="宋体" w:cs="宋体"/>
                <w:kern w:val="0"/>
                <w:sz w:val="20"/>
                <w:highlight w:val="none"/>
              </w:rPr>
            </w:pPr>
            <w:r>
              <w:rPr>
                <w:rFonts w:ascii="宋体" w:hAnsi="宋体" w:cs="宋体"/>
                <w:kern w:val="0"/>
                <w:sz w:val="20"/>
                <w:highlight w:val="none"/>
              </w:rPr>
              <w:t>100m3</w:t>
            </w:r>
          </w:p>
        </w:tc>
        <w:tc>
          <w:tcPr>
            <w:tcW w:w="626" w:type="pct"/>
            <w:tcBorders>
              <w:top w:val="single" w:color="auto" w:sz="4" w:space="0"/>
              <w:left w:val="nil"/>
              <w:bottom w:val="single" w:color="auto" w:sz="4" w:space="0"/>
              <w:right w:val="single" w:color="auto" w:sz="4" w:space="0"/>
            </w:tcBorders>
            <w:vAlign w:val="center"/>
          </w:tcPr>
          <w:p w14:paraId="216A8D53">
            <w:pPr>
              <w:widowControl/>
              <w:jc w:val="center"/>
              <w:rPr>
                <w:rFonts w:hint="eastAsia" w:ascii="宋体" w:hAnsi="宋体" w:cs="宋体"/>
                <w:kern w:val="0"/>
                <w:sz w:val="20"/>
                <w:highlight w:val="none"/>
              </w:rPr>
            </w:pPr>
            <w:r>
              <w:rPr>
                <w:rFonts w:ascii="宋体" w:hAnsi="宋体" w:cs="宋体"/>
                <w:kern w:val="0"/>
                <w:sz w:val="20"/>
                <w:highlight w:val="none"/>
              </w:rPr>
              <w:t>455.61</w:t>
            </w:r>
          </w:p>
        </w:tc>
        <w:tc>
          <w:tcPr>
            <w:tcW w:w="743" w:type="pct"/>
            <w:tcBorders>
              <w:top w:val="single" w:color="auto" w:sz="4" w:space="0"/>
              <w:left w:val="nil"/>
              <w:bottom w:val="single" w:color="auto" w:sz="4" w:space="0"/>
              <w:right w:val="single" w:color="auto" w:sz="4" w:space="0"/>
            </w:tcBorders>
            <w:shd w:val="clear" w:color="FFFFFF" w:fill="FFFFFF"/>
            <w:vAlign w:val="center"/>
          </w:tcPr>
          <w:p w14:paraId="0FBC7283">
            <w:pPr>
              <w:widowControl/>
              <w:jc w:val="center"/>
              <w:rPr>
                <w:rFonts w:hint="eastAsia" w:ascii="宋体" w:hAnsi="宋体" w:cs="宋体"/>
                <w:kern w:val="0"/>
                <w:sz w:val="20"/>
                <w:highlight w:val="none"/>
              </w:rPr>
            </w:pPr>
            <w:r>
              <w:rPr>
                <w:rFonts w:ascii="宋体" w:hAnsi="宋体" w:cs="宋体"/>
                <w:kern w:val="0"/>
                <w:sz w:val="20"/>
                <w:highlight w:val="none"/>
              </w:rPr>
              <w:t>　</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4B81B866">
            <w:pPr>
              <w:widowControl/>
              <w:jc w:val="center"/>
              <w:rPr>
                <w:rFonts w:hint="eastAsia" w:ascii="宋体" w:hAnsi="宋体" w:cs="宋体"/>
                <w:kern w:val="0"/>
                <w:sz w:val="20"/>
                <w:highlight w:val="none"/>
              </w:rPr>
            </w:pPr>
            <w:r>
              <w:rPr>
                <w:rFonts w:ascii="宋体" w:hAnsi="宋体" w:cs="宋体"/>
                <w:kern w:val="0"/>
                <w:sz w:val="20"/>
                <w:highlight w:val="none"/>
              </w:rPr>
              <w:t>　</w:t>
            </w:r>
          </w:p>
        </w:tc>
      </w:tr>
      <w:tr w14:paraId="6E18397A">
        <w:tblPrEx>
          <w:tblCellMar>
            <w:top w:w="0" w:type="dxa"/>
            <w:left w:w="108" w:type="dxa"/>
            <w:bottom w:w="0" w:type="dxa"/>
            <w:right w:w="108" w:type="dxa"/>
          </w:tblCellMar>
        </w:tblPrEx>
        <w:trPr>
          <w:trHeight w:val="570"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74F74DF3">
            <w:pPr>
              <w:widowControl/>
              <w:jc w:val="center"/>
              <w:rPr>
                <w:rFonts w:hint="eastAsia" w:ascii="宋体" w:hAnsi="宋体" w:cs="宋体"/>
                <w:kern w:val="0"/>
                <w:sz w:val="20"/>
                <w:highlight w:val="none"/>
              </w:rPr>
            </w:pPr>
            <w:r>
              <w:rPr>
                <w:rFonts w:ascii="宋体" w:hAnsi="宋体" w:cs="宋体"/>
                <w:kern w:val="0"/>
                <w:sz w:val="20"/>
                <w:highlight w:val="none"/>
              </w:rPr>
              <w:t>16</w:t>
            </w:r>
          </w:p>
        </w:tc>
        <w:tc>
          <w:tcPr>
            <w:tcW w:w="1907" w:type="pct"/>
            <w:tcBorders>
              <w:top w:val="single" w:color="auto" w:sz="4" w:space="0"/>
              <w:left w:val="nil"/>
              <w:bottom w:val="single" w:color="auto" w:sz="4" w:space="0"/>
              <w:right w:val="single" w:color="auto" w:sz="4" w:space="0"/>
            </w:tcBorders>
            <w:vAlign w:val="center"/>
          </w:tcPr>
          <w:p w14:paraId="4E765CE3">
            <w:pPr>
              <w:widowControl/>
              <w:jc w:val="left"/>
              <w:rPr>
                <w:rFonts w:hint="eastAsia" w:ascii="宋体" w:hAnsi="宋体" w:cs="宋体"/>
                <w:kern w:val="0"/>
                <w:sz w:val="20"/>
                <w:highlight w:val="none"/>
              </w:rPr>
            </w:pPr>
            <w:r>
              <w:rPr>
                <w:rFonts w:ascii="宋体" w:hAnsi="宋体" w:cs="宋体"/>
                <w:kern w:val="0"/>
                <w:sz w:val="20"/>
                <w:highlight w:val="none"/>
              </w:rPr>
              <w:t>推土机推土(一、二类土) 推土距离70~80m</w:t>
            </w:r>
          </w:p>
        </w:tc>
        <w:tc>
          <w:tcPr>
            <w:tcW w:w="450" w:type="pct"/>
            <w:gridSpan w:val="2"/>
            <w:tcBorders>
              <w:top w:val="single" w:color="auto" w:sz="4" w:space="0"/>
              <w:left w:val="nil"/>
              <w:bottom w:val="single" w:color="auto" w:sz="4" w:space="0"/>
              <w:right w:val="single" w:color="auto" w:sz="4" w:space="0"/>
            </w:tcBorders>
            <w:vAlign w:val="center"/>
          </w:tcPr>
          <w:p w14:paraId="2DD642D0">
            <w:pPr>
              <w:widowControl/>
              <w:jc w:val="center"/>
              <w:rPr>
                <w:rFonts w:hint="eastAsia" w:ascii="宋体" w:hAnsi="宋体" w:cs="宋体"/>
                <w:kern w:val="0"/>
                <w:sz w:val="20"/>
                <w:highlight w:val="none"/>
              </w:rPr>
            </w:pPr>
            <w:r>
              <w:rPr>
                <w:rFonts w:ascii="宋体" w:hAnsi="宋体" w:cs="宋体"/>
                <w:kern w:val="0"/>
                <w:sz w:val="20"/>
                <w:highlight w:val="none"/>
              </w:rPr>
              <w:t>100m3</w:t>
            </w:r>
          </w:p>
        </w:tc>
        <w:tc>
          <w:tcPr>
            <w:tcW w:w="626" w:type="pct"/>
            <w:tcBorders>
              <w:top w:val="single" w:color="auto" w:sz="4" w:space="0"/>
              <w:left w:val="nil"/>
              <w:bottom w:val="single" w:color="auto" w:sz="4" w:space="0"/>
              <w:right w:val="single" w:color="auto" w:sz="4" w:space="0"/>
            </w:tcBorders>
            <w:vAlign w:val="center"/>
          </w:tcPr>
          <w:p w14:paraId="0FCDF0F2">
            <w:pPr>
              <w:widowControl/>
              <w:jc w:val="center"/>
              <w:rPr>
                <w:rFonts w:hint="eastAsia" w:ascii="宋体" w:hAnsi="宋体" w:cs="宋体"/>
                <w:kern w:val="0"/>
                <w:sz w:val="20"/>
                <w:highlight w:val="none"/>
              </w:rPr>
            </w:pPr>
            <w:r>
              <w:rPr>
                <w:rFonts w:ascii="宋体" w:hAnsi="宋体" w:cs="宋体"/>
                <w:kern w:val="0"/>
                <w:sz w:val="20"/>
                <w:highlight w:val="none"/>
              </w:rPr>
              <w:t>132.36</w:t>
            </w:r>
          </w:p>
        </w:tc>
        <w:tc>
          <w:tcPr>
            <w:tcW w:w="743" w:type="pct"/>
            <w:tcBorders>
              <w:top w:val="single" w:color="auto" w:sz="4" w:space="0"/>
              <w:left w:val="nil"/>
              <w:bottom w:val="single" w:color="auto" w:sz="4" w:space="0"/>
              <w:right w:val="single" w:color="auto" w:sz="4" w:space="0"/>
            </w:tcBorders>
            <w:shd w:val="clear" w:color="FFFFFF" w:fill="FFFFFF"/>
            <w:vAlign w:val="center"/>
          </w:tcPr>
          <w:p w14:paraId="6AA11D0C">
            <w:pPr>
              <w:widowControl/>
              <w:jc w:val="center"/>
              <w:rPr>
                <w:rFonts w:hint="eastAsia" w:ascii="宋体" w:hAnsi="宋体" w:cs="宋体"/>
                <w:kern w:val="0"/>
                <w:sz w:val="20"/>
                <w:highlight w:val="none"/>
              </w:rPr>
            </w:pPr>
            <w:r>
              <w:rPr>
                <w:rFonts w:ascii="宋体" w:hAnsi="宋体" w:cs="宋体"/>
                <w:kern w:val="0"/>
                <w:sz w:val="20"/>
                <w:highlight w:val="none"/>
              </w:rPr>
              <w:t>　</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41E44AD9">
            <w:pPr>
              <w:widowControl/>
              <w:jc w:val="center"/>
              <w:rPr>
                <w:rFonts w:hint="eastAsia" w:ascii="宋体" w:hAnsi="宋体" w:cs="宋体"/>
                <w:kern w:val="0"/>
                <w:sz w:val="20"/>
                <w:highlight w:val="none"/>
              </w:rPr>
            </w:pPr>
            <w:r>
              <w:rPr>
                <w:rFonts w:ascii="宋体" w:hAnsi="宋体" w:cs="宋体"/>
                <w:kern w:val="0"/>
                <w:sz w:val="20"/>
                <w:highlight w:val="none"/>
              </w:rPr>
              <w:t>　</w:t>
            </w:r>
          </w:p>
        </w:tc>
      </w:tr>
      <w:tr w14:paraId="3166DD1E">
        <w:tblPrEx>
          <w:tblCellMar>
            <w:top w:w="0" w:type="dxa"/>
            <w:left w:w="108" w:type="dxa"/>
            <w:bottom w:w="0" w:type="dxa"/>
            <w:right w:w="108" w:type="dxa"/>
          </w:tblCellMar>
        </w:tblPrEx>
        <w:trPr>
          <w:trHeight w:val="570"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3261E493">
            <w:pPr>
              <w:widowControl/>
              <w:jc w:val="center"/>
              <w:rPr>
                <w:rFonts w:hint="eastAsia" w:ascii="宋体" w:hAnsi="宋体" w:cs="宋体"/>
                <w:kern w:val="0"/>
                <w:sz w:val="20"/>
                <w:highlight w:val="none"/>
              </w:rPr>
            </w:pPr>
            <w:r>
              <w:rPr>
                <w:rFonts w:ascii="宋体" w:hAnsi="宋体" w:cs="宋体"/>
                <w:kern w:val="0"/>
                <w:sz w:val="20"/>
                <w:highlight w:val="none"/>
              </w:rPr>
              <w:t>17</w:t>
            </w:r>
          </w:p>
        </w:tc>
        <w:tc>
          <w:tcPr>
            <w:tcW w:w="1907" w:type="pct"/>
            <w:tcBorders>
              <w:top w:val="single" w:color="auto" w:sz="4" w:space="0"/>
              <w:left w:val="nil"/>
              <w:bottom w:val="single" w:color="auto" w:sz="4" w:space="0"/>
              <w:right w:val="single" w:color="auto" w:sz="4" w:space="0"/>
            </w:tcBorders>
            <w:vAlign w:val="center"/>
          </w:tcPr>
          <w:p w14:paraId="708A9A90">
            <w:pPr>
              <w:widowControl/>
              <w:jc w:val="left"/>
              <w:rPr>
                <w:rFonts w:hint="eastAsia" w:ascii="宋体" w:hAnsi="宋体" w:cs="宋体"/>
                <w:kern w:val="0"/>
                <w:sz w:val="20"/>
                <w:highlight w:val="none"/>
              </w:rPr>
            </w:pPr>
            <w:r>
              <w:rPr>
                <w:rFonts w:ascii="宋体" w:hAnsi="宋体" w:cs="宋体"/>
                <w:kern w:val="0"/>
                <w:sz w:val="20"/>
                <w:highlight w:val="none"/>
              </w:rPr>
              <w:t>推土机推土(一、二类土) 推土距离70~80m</w:t>
            </w:r>
          </w:p>
        </w:tc>
        <w:tc>
          <w:tcPr>
            <w:tcW w:w="450" w:type="pct"/>
            <w:gridSpan w:val="2"/>
            <w:tcBorders>
              <w:top w:val="single" w:color="auto" w:sz="4" w:space="0"/>
              <w:left w:val="nil"/>
              <w:bottom w:val="single" w:color="auto" w:sz="4" w:space="0"/>
              <w:right w:val="single" w:color="auto" w:sz="4" w:space="0"/>
            </w:tcBorders>
            <w:vAlign w:val="center"/>
          </w:tcPr>
          <w:p w14:paraId="10588B3D">
            <w:pPr>
              <w:widowControl/>
              <w:jc w:val="center"/>
              <w:rPr>
                <w:rFonts w:hint="eastAsia" w:ascii="宋体" w:hAnsi="宋体" w:cs="宋体"/>
                <w:kern w:val="0"/>
                <w:sz w:val="20"/>
                <w:highlight w:val="none"/>
              </w:rPr>
            </w:pPr>
            <w:r>
              <w:rPr>
                <w:rFonts w:ascii="宋体" w:hAnsi="宋体" w:cs="宋体"/>
                <w:kern w:val="0"/>
                <w:sz w:val="20"/>
                <w:highlight w:val="none"/>
              </w:rPr>
              <w:t>100m3</w:t>
            </w:r>
          </w:p>
        </w:tc>
        <w:tc>
          <w:tcPr>
            <w:tcW w:w="626" w:type="pct"/>
            <w:tcBorders>
              <w:top w:val="single" w:color="auto" w:sz="4" w:space="0"/>
              <w:left w:val="nil"/>
              <w:bottom w:val="single" w:color="auto" w:sz="4" w:space="0"/>
              <w:right w:val="single" w:color="auto" w:sz="4" w:space="0"/>
            </w:tcBorders>
            <w:vAlign w:val="center"/>
          </w:tcPr>
          <w:p w14:paraId="2FE25FA1">
            <w:pPr>
              <w:widowControl/>
              <w:jc w:val="center"/>
              <w:rPr>
                <w:rFonts w:hint="eastAsia" w:ascii="宋体" w:hAnsi="宋体" w:cs="宋体"/>
                <w:kern w:val="0"/>
                <w:sz w:val="20"/>
                <w:highlight w:val="none"/>
              </w:rPr>
            </w:pPr>
            <w:r>
              <w:rPr>
                <w:rFonts w:ascii="宋体" w:hAnsi="宋体" w:cs="宋体"/>
                <w:kern w:val="0"/>
                <w:sz w:val="20"/>
                <w:highlight w:val="none"/>
              </w:rPr>
              <w:t>1343.64</w:t>
            </w:r>
          </w:p>
        </w:tc>
        <w:tc>
          <w:tcPr>
            <w:tcW w:w="743" w:type="pct"/>
            <w:tcBorders>
              <w:top w:val="single" w:color="auto" w:sz="4" w:space="0"/>
              <w:left w:val="nil"/>
              <w:bottom w:val="single" w:color="auto" w:sz="4" w:space="0"/>
              <w:right w:val="single" w:color="auto" w:sz="4" w:space="0"/>
            </w:tcBorders>
            <w:shd w:val="clear" w:color="FFFFFF" w:fill="FFFFFF"/>
            <w:vAlign w:val="center"/>
          </w:tcPr>
          <w:p w14:paraId="1A7B6D5F">
            <w:pPr>
              <w:widowControl/>
              <w:jc w:val="center"/>
              <w:rPr>
                <w:rFonts w:hint="eastAsia" w:ascii="宋体" w:hAnsi="宋体" w:cs="宋体"/>
                <w:kern w:val="0"/>
                <w:sz w:val="20"/>
                <w:highlight w:val="none"/>
              </w:rPr>
            </w:pPr>
            <w:r>
              <w:rPr>
                <w:rFonts w:ascii="宋体" w:hAnsi="宋体" w:cs="宋体"/>
                <w:kern w:val="0"/>
                <w:sz w:val="20"/>
                <w:highlight w:val="none"/>
              </w:rPr>
              <w:t>　</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0C1F8CBD">
            <w:pPr>
              <w:widowControl/>
              <w:jc w:val="center"/>
              <w:rPr>
                <w:rFonts w:hint="eastAsia" w:ascii="宋体" w:hAnsi="宋体" w:cs="宋体"/>
                <w:kern w:val="0"/>
                <w:sz w:val="20"/>
                <w:highlight w:val="none"/>
              </w:rPr>
            </w:pPr>
            <w:r>
              <w:rPr>
                <w:rFonts w:ascii="宋体" w:hAnsi="宋体" w:cs="宋体"/>
                <w:kern w:val="0"/>
                <w:sz w:val="20"/>
                <w:highlight w:val="none"/>
              </w:rPr>
              <w:t>　</w:t>
            </w:r>
          </w:p>
        </w:tc>
      </w:tr>
      <w:tr w14:paraId="2E8F456E">
        <w:tblPrEx>
          <w:tblCellMar>
            <w:top w:w="0" w:type="dxa"/>
            <w:left w:w="108" w:type="dxa"/>
            <w:bottom w:w="0" w:type="dxa"/>
            <w:right w:w="108" w:type="dxa"/>
          </w:tblCellMar>
        </w:tblPrEx>
        <w:trPr>
          <w:trHeight w:val="588"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523D930D">
            <w:pPr>
              <w:widowControl/>
              <w:jc w:val="center"/>
              <w:rPr>
                <w:rFonts w:hint="eastAsia" w:ascii="宋体" w:hAnsi="宋体" w:cs="宋体"/>
                <w:kern w:val="0"/>
                <w:sz w:val="20"/>
                <w:highlight w:val="none"/>
              </w:rPr>
            </w:pPr>
            <w:r>
              <w:rPr>
                <w:rFonts w:ascii="宋体" w:hAnsi="宋体" w:cs="宋体"/>
                <w:kern w:val="0"/>
                <w:sz w:val="20"/>
                <w:highlight w:val="none"/>
              </w:rPr>
              <w:t>18</w:t>
            </w:r>
          </w:p>
        </w:tc>
        <w:tc>
          <w:tcPr>
            <w:tcW w:w="1907" w:type="pct"/>
            <w:tcBorders>
              <w:top w:val="single" w:color="auto" w:sz="4" w:space="0"/>
              <w:left w:val="nil"/>
              <w:bottom w:val="single" w:color="auto" w:sz="4" w:space="0"/>
              <w:right w:val="single" w:color="auto" w:sz="4" w:space="0"/>
            </w:tcBorders>
            <w:shd w:val="clear" w:color="FFFFFF" w:fill="FFFFFF"/>
            <w:vAlign w:val="center"/>
          </w:tcPr>
          <w:p w14:paraId="1F3F3AAF">
            <w:pPr>
              <w:widowControl/>
              <w:jc w:val="left"/>
              <w:rPr>
                <w:rFonts w:hint="eastAsia" w:ascii="宋体" w:hAnsi="宋体" w:cs="宋体"/>
                <w:kern w:val="0"/>
                <w:sz w:val="20"/>
                <w:highlight w:val="none"/>
              </w:rPr>
            </w:pPr>
            <w:r>
              <w:rPr>
                <w:rFonts w:ascii="宋体" w:hAnsi="宋体" w:cs="宋体"/>
                <w:kern w:val="0"/>
                <w:sz w:val="20"/>
                <w:highlight w:val="none"/>
              </w:rPr>
              <w:t>推土机推土(一、二类土) 推土距离10~20m</w:t>
            </w:r>
          </w:p>
        </w:tc>
        <w:tc>
          <w:tcPr>
            <w:tcW w:w="450" w:type="pct"/>
            <w:gridSpan w:val="2"/>
            <w:tcBorders>
              <w:top w:val="single" w:color="auto" w:sz="4" w:space="0"/>
              <w:left w:val="nil"/>
              <w:bottom w:val="single" w:color="auto" w:sz="4" w:space="0"/>
              <w:right w:val="single" w:color="auto" w:sz="4" w:space="0"/>
            </w:tcBorders>
            <w:shd w:val="clear" w:color="FFFFFF" w:fill="FFFFFF"/>
            <w:vAlign w:val="center"/>
          </w:tcPr>
          <w:p w14:paraId="57BB00B2">
            <w:pPr>
              <w:widowControl/>
              <w:jc w:val="center"/>
              <w:rPr>
                <w:rFonts w:hint="eastAsia" w:ascii="宋体" w:hAnsi="宋体" w:cs="宋体"/>
                <w:kern w:val="0"/>
                <w:sz w:val="20"/>
                <w:highlight w:val="none"/>
              </w:rPr>
            </w:pPr>
            <w:r>
              <w:rPr>
                <w:rFonts w:ascii="宋体" w:hAnsi="宋体" w:cs="宋体"/>
                <w:kern w:val="0"/>
                <w:sz w:val="20"/>
                <w:highlight w:val="none"/>
              </w:rPr>
              <w:t>100m3</w:t>
            </w:r>
          </w:p>
        </w:tc>
        <w:tc>
          <w:tcPr>
            <w:tcW w:w="626" w:type="pct"/>
            <w:tcBorders>
              <w:top w:val="single" w:color="auto" w:sz="4" w:space="0"/>
              <w:left w:val="nil"/>
              <w:bottom w:val="single" w:color="auto" w:sz="4" w:space="0"/>
              <w:right w:val="single" w:color="auto" w:sz="4" w:space="0"/>
            </w:tcBorders>
            <w:shd w:val="clear" w:color="FFFFFF" w:fill="FFFFFF"/>
            <w:vAlign w:val="center"/>
          </w:tcPr>
          <w:p w14:paraId="3C16A48D">
            <w:pPr>
              <w:widowControl/>
              <w:jc w:val="center"/>
              <w:rPr>
                <w:rFonts w:hint="eastAsia" w:ascii="宋体" w:hAnsi="宋体" w:cs="宋体"/>
                <w:kern w:val="0"/>
                <w:sz w:val="20"/>
                <w:highlight w:val="none"/>
              </w:rPr>
            </w:pPr>
            <w:r>
              <w:rPr>
                <w:rFonts w:ascii="宋体" w:hAnsi="宋体" w:cs="宋体"/>
                <w:kern w:val="0"/>
                <w:sz w:val="20"/>
                <w:highlight w:val="none"/>
              </w:rPr>
              <w:t>1574.79</w:t>
            </w:r>
          </w:p>
        </w:tc>
        <w:tc>
          <w:tcPr>
            <w:tcW w:w="743" w:type="pct"/>
            <w:tcBorders>
              <w:top w:val="single" w:color="auto" w:sz="4" w:space="0"/>
              <w:left w:val="nil"/>
              <w:bottom w:val="single" w:color="auto" w:sz="4" w:space="0"/>
              <w:right w:val="single" w:color="auto" w:sz="4" w:space="0"/>
            </w:tcBorders>
            <w:shd w:val="clear" w:color="FFFFFF" w:fill="FFFFFF"/>
            <w:vAlign w:val="center"/>
          </w:tcPr>
          <w:p w14:paraId="4BB380AD">
            <w:pPr>
              <w:widowControl/>
              <w:jc w:val="center"/>
              <w:rPr>
                <w:rFonts w:hint="eastAsia" w:ascii="宋体" w:hAnsi="宋体" w:cs="宋体"/>
                <w:kern w:val="0"/>
                <w:sz w:val="20"/>
                <w:highlight w:val="none"/>
              </w:rPr>
            </w:pPr>
            <w:r>
              <w:rPr>
                <w:rFonts w:ascii="宋体" w:hAnsi="宋体" w:cs="宋体"/>
                <w:kern w:val="0"/>
                <w:sz w:val="20"/>
                <w:highlight w:val="none"/>
              </w:rPr>
              <w:t>　</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405C4351">
            <w:pPr>
              <w:widowControl/>
              <w:jc w:val="center"/>
              <w:rPr>
                <w:rFonts w:hint="eastAsia" w:ascii="宋体" w:hAnsi="宋体" w:cs="宋体"/>
                <w:kern w:val="0"/>
                <w:sz w:val="20"/>
                <w:highlight w:val="none"/>
              </w:rPr>
            </w:pPr>
            <w:r>
              <w:rPr>
                <w:rFonts w:ascii="宋体" w:hAnsi="宋体" w:cs="宋体"/>
                <w:kern w:val="0"/>
                <w:sz w:val="20"/>
                <w:highlight w:val="none"/>
              </w:rPr>
              <w:t>　</w:t>
            </w:r>
          </w:p>
        </w:tc>
      </w:tr>
      <w:tr w14:paraId="5E935435">
        <w:tblPrEx>
          <w:tblCellMar>
            <w:top w:w="0" w:type="dxa"/>
            <w:left w:w="108" w:type="dxa"/>
            <w:bottom w:w="0" w:type="dxa"/>
            <w:right w:w="108" w:type="dxa"/>
          </w:tblCellMar>
        </w:tblPrEx>
        <w:trPr>
          <w:trHeight w:val="588"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49675FFB">
            <w:pPr>
              <w:widowControl/>
              <w:jc w:val="center"/>
              <w:rPr>
                <w:rFonts w:hint="eastAsia" w:ascii="宋体" w:hAnsi="宋体" w:cs="宋体"/>
                <w:kern w:val="0"/>
                <w:sz w:val="20"/>
                <w:highlight w:val="none"/>
              </w:rPr>
            </w:pPr>
            <w:r>
              <w:rPr>
                <w:rFonts w:ascii="宋体" w:hAnsi="宋体" w:cs="宋体"/>
                <w:kern w:val="0"/>
                <w:sz w:val="20"/>
                <w:highlight w:val="none"/>
              </w:rPr>
              <w:t>19</w:t>
            </w:r>
          </w:p>
        </w:tc>
        <w:tc>
          <w:tcPr>
            <w:tcW w:w="1907" w:type="pct"/>
            <w:tcBorders>
              <w:top w:val="single" w:color="auto" w:sz="4" w:space="0"/>
              <w:left w:val="nil"/>
              <w:bottom w:val="single" w:color="auto" w:sz="4" w:space="0"/>
              <w:right w:val="single" w:color="auto" w:sz="4" w:space="0"/>
            </w:tcBorders>
            <w:shd w:val="clear" w:color="FFFFFF" w:fill="FFFFFF"/>
            <w:vAlign w:val="center"/>
          </w:tcPr>
          <w:p w14:paraId="1DDA03EA">
            <w:pPr>
              <w:widowControl/>
              <w:jc w:val="left"/>
              <w:rPr>
                <w:rFonts w:hint="eastAsia" w:ascii="宋体" w:hAnsi="宋体" w:cs="宋体"/>
                <w:kern w:val="0"/>
                <w:sz w:val="20"/>
                <w:highlight w:val="none"/>
              </w:rPr>
            </w:pPr>
            <w:r>
              <w:rPr>
                <w:rFonts w:ascii="宋体" w:hAnsi="宋体" w:cs="宋体"/>
                <w:kern w:val="0"/>
                <w:sz w:val="20"/>
                <w:highlight w:val="none"/>
              </w:rPr>
              <w:t>土地翻耕 一、二类土</w:t>
            </w:r>
          </w:p>
        </w:tc>
        <w:tc>
          <w:tcPr>
            <w:tcW w:w="450" w:type="pct"/>
            <w:gridSpan w:val="2"/>
            <w:tcBorders>
              <w:top w:val="single" w:color="auto" w:sz="4" w:space="0"/>
              <w:left w:val="nil"/>
              <w:bottom w:val="single" w:color="auto" w:sz="4" w:space="0"/>
              <w:right w:val="single" w:color="auto" w:sz="4" w:space="0"/>
            </w:tcBorders>
            <w:shd w:val="clear" w:color="FFFFFF" w:fill="FFFFFF"/>
            <w:vAlign w:val="center"/>
          </w:tcPr>
          <w:p w14:paraId="4FD4F8C8">
            <w:pPr>
              <w:widowControl/>
              <w:jc w:val="center"/>
              <w:rPr>
                <w:rFonts w:hint="eastAsia" w:ascii="宋体" w:hAnsi="宋体" w:cs="宋体"/>
                <w:kern w:val="0"/>
                <w:sz w:val="20"/>
                <w:highlight w:val="none"/>
              </w:rPr>
            </w:pPr>
            <w:r>
              <w:rPr>
                <w:rFonts w:ascii="宋体" w:hAnsi="宋体" w:cs="宋体"/>
                <w:kern w:val="0"/>
                <w:sz w:val="20"/>
                <w:highlight w:val="none"/>
              </w:rPr>
              <w:t>公顷</w:t>
            </w:r>
          </w:p>
        </w:tc>
        <w:tc>
          <w:tcPr>
            <w:tcW w:w="626" w:type="pct"/>
            <w:tcBorders>
              <w:top w:val="single" w:color="auto" w:sz="4" w:space="0"/>
              <w:left w:val="nil"/>
              <w:bottom w:val="single" w:color="auto" w:sz="4" w:space="0"/>
              <w:right w:val="single" w:color="auto" w:sz="4" w:space="0"/>
            </w:tcBorders>
            <w:shd w:val="clear" w:color="FFFFFF" w:fill="FFFFFF"/>
            <w:vAlign w:val="center"/>
          </w:tcPr>
          <w:p w14:paraId="3858E327">
            <w:pPr>
              <w:widowControl/>
              <w:jc w:val="center"/>
              <w:rPr>
                <w:rFonts w:hint="eastAsia" w:ascii="宋体" w:hAnsi="宋体" w:cs="宋体"/>
                <w:kern w:val="0"/>
                <w:sz w:val="20"/>
                <w:highlight w:val="none"/>
              </w:rPr>
            </w:pPr>
            <w:r>
              <w:rPr>
                <w:rFonts w:ascii="宋体" w:hAnsi="宋体" w:cs="宋体"/>
                <w:kern w:val="0"/>
                <w:sz w:val="20"/>
                <w:highlight w:val="none"/>
              </w:rPr>
              <w:t>95.04</w:t>
            </w:r>
          </w:p>
        </w:tc>
        <w:tc>
          <w:tcPr>
            <w:tcW w:w="743" w:type="pct"/>
            <w:tcBorders>
              <w:top w:val="single" w:color="auto" w:sz="4" w:space="0"/>
              <w:left w:val="nil"/>
              <w:bottom w:val="single" w:color="auto" w:sz="4" w:space="0"/>
              <w:right w:val="single" w:color="auto" w:sz="4" w:space="0"/>
            </w:tcBorders>
            <w:shd w:val="clear" w:color="FFFFFF" w:fill="FFFFFF"/>
            <w:vAlign w:val="center"/>
          </w:tcPr>
          <w:p w14:paraId="450F287C">
            <w:pPr>
              <w:widowControl/>
              <w:jc w:val="center"/>
              <w:rPr>
                <w:rFonts w:hint="eastAsia" w:ascii="宋体" w:hAnsi="宋体" w:cs="宋体"/>
                <w:kern w:val="0"/>
                <w:sz w:val="20"/>
                <w:highlight w:val="none"/>
              </w:rPr>
            </w:pPr>
            <w:r>
              <w:rPr>
                <w:rFonts w:ascii="宋体" w:hAnsi="宋体" w:cs="宋体"/>
                <w:kern w:val="0"/>
                <w:sz w:val="20"/>
                <w:highlight w:val="none"/>
              </w:rPr>
              <w:t>　</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7190E44D">
            <w:pPr>
              <w:widowControl/>
              <w:jc w:val="center"/>
              <w:rPr>
                <w:rFonts w:hint="eastAsia" w:ascii="宋体" w:hAnsi="宋体" w:cs="宋体"/>
                <w:kern w:val="0"/>
                <w:sz w:val="20"/>
                <w:highlight w:val="none"/>
              </w:rPr>
            </w:pPr>
            <w:r>
              <w:rPr>
                <w:rFonts w:ascii="宋体" w:hAnsi="宋体" w:cs="宋体"/>
                <w:kern w:val="0"/>
                <w:sz w:val="20"/>
                <w:highlight w:val="none"/>
              </w:rPr>
              <w:t>　</w:t>
            </w:r>
          </w:p>
        </w:tc>
      </w:tr>
      <w:tr w14:paraId="4AB108C4">
        <w:tblPrEx>
          <w:tblCellMar>
            <w:top w:w="0" w:type="dxa"/>
            <w:left w:w="108" w:type="dxa"/>
            <w:bottom w:w="0" w:type="dxa"/>
            <w:right w:w="108" w:type="dxa"/>
          </w:tblCellMar>
        </w:tblPrEx>
        <w:trPr>
          <w:trHeight w:val="588" w:hRule="atLeast"/>
          <w:jc w:val="center"/>
        </w:trPr>
        <w:tc>
          <w:tcPr>
            <w:tcW w:w="450" w:type="pct"/>
            <w:tcBorders>
              <w:top w:val="single" w:color="auto" w:sz="4" w:space="0"/>
              <w:left w:val="single" w:color="auto" w:sz="4" w:space="0"/>
              <w:bottom w:val="single" w:color="auto" w:sz="4" w:space="0"/>
              <w:right w:val="single" w:color="auto" w:sz="4" w:space="0"/>
            </w:tcBorders>
            <w:shd w:val="clear" w:color="FFFFFF" w:fill="FFFFFF"/>
            <w:vAlign w:val="center"/>
          </w:tcPr>
          <w:p w14:paraId="5512675E">
            <w:pPr>
              <w:widowControl/>
              <w:jc w:val="center"/>
              <w:rPr>
                <w:rFonts w:hint="eastAsia" w:ascii="宋体" w:hAnsi="宋体" w:cs="宋体"/>
                <w:kern w:val="0"/>
                <w:sz w:val="20"/>
                <w:highlight w:val="none"/>
              </w:rPr>
            </w:pPr>
            <w:r>
              <w:rPr>
                <w:rFonts w:ascii="宋体" w:hAnsi="宋体" w:cs="宋体"/>
                <w:kern w:val="0"/>
                <w:sz w:val="20"/>
                <w:highlight w:val="none"/>
              </w:rPr>
              <w:t>20</w:t>
            </w:r>
          </w:p>
        </w:tc>
        <w:tc>
          <w:tcPr>
            <w:tcW w:w="3726" w:type="pct"/>
            <w:gridSpan w:val="5"/>
            <w:tcBorders>
              <w:top w:val="single" w:color="auto" w:sz="4" w:space="0"/>
              <w:left w:val="nil"/>
              <w:bottom w:val="single" w:color="auto" w:sz="4" w:space="0"/>
              <w:right w:val="single" w:color="auto" w:sz="4" w:space="0"/>
            </w:tcBorders>
            <w:shd w:val="clear" w:color="FFFFFF" w:fill="FFFFFF"/>
            <w:vAlign w:val="center"/>
          </w:tcPr>
          <w:p w14:paraId="3E14737D">
            <w:pPr>
              <w:widowControl/>
              <w:jc w:val="center"/>
              <w:rPr>
                <w:rFonts w:hint="eastAsia" w:ascii="宋体" w:hAnsi="宋体" w:cs="宋体"/>
                <w:kern w:val="0"/>
                <w:sz w:val="20"/>
                <w:highlight w:val="none"/>
              </w:rPr>
            </w:pPr>
            <w:r>
              <w:rPr>
                <w:rFonts w:ascii="宋体" w:hAnsi="宋体" w:cs="宋体"/>
                <w:kern w:val="0"/>
                <w:sz w:val="20"/>
                <w:highlight w:val="none"/>
              </w:rPr>
              <w:t>合计</w:t>
            </w:r>
          </w:p>
        </w:tc>
        <w:tc>
          <w:tcPr>
            <w:tcW w:w="824" w:type="pct"/>
            <w:tcBorders>
              <w:top w:val="single" w:color="auto" w:sz="4" w:space="0"/>
              <w:left w:val="nil"/>
              <w:bottom w:val="single" w:color="auto" w:sz="4" w:space="0"/>
              <w:right w:val="single" w:color="auto" w:sz="4" w:space="0"/>
            </w:tcBorders>
            <w:shd w:val="clear" w:color="FFFFFF" w:fill="FFFFFF"/>
            <w:vAlign w:val="center"/>
          </w:tcPr>
          <w:p w14:paraId="319F634B">
            <w:pPr>
              <w:widowControl/>
              <w:jc w:val="center"/>
              <w:rPr>
                <w:rFonts w:hint="eastAsia" w:ascii="宋体" w:hAnsi="宋体" w:cs="宋体"/>
                <w:kern w:val="0"/>
                <w:sz w:val="20"/>
                <w:highlight w:val="none"/>
              </w:rPr>
            </w:pPr>
            <w:r>
              <w:rPr>
                <w:rFonts w:ascii="宋体" w:hAnsi="宋体" w:cs="宋体"/>
                <w:kern w:val="0"/>
                <w:sz w:val="20"/>
                <w:highlight w:val="none"/>
              </w:rPr>
              <w:t>　</w:t>
            </w:r>
          </w:p>
        </w:tc>
      </w:tr>
    </w:tbl>
    <w:p w14:paraId="1E8EC993">
      <w:pPr>
        <w:pStyle w:val="46"/>
        <w:jc w:val="center"/>
        <w:rPr>
          <w:sz w:val="28"/>
          <w:szCs w:val="28"/>
          <w:highlight w:val="none"/>
        </w:rPr>
      </w:pPr>
    </w:p>
    <w:p w14:paraId="66D7BFBA">
      <w:pPr>
        <w:pStyle w:val="46"/>
        <w:jc w:val="center"/>
        <w:rPr>
          <w:sz w:val="28"/>
          <w:szCs w:val="28"/>
          <w:highlight w:val="none"/>
        </w:rPr>
      </w:pPr>
    </w:p>
    <w:p w14:paraId="7DE32CAA">
      <w:pPr>
        <w:pStyle w:val="46"/>
        <w:jc w:val="center"/>
        <w:rPr>
          <w:sz w:val="28"/>
          <w:szCs w:val="28"/>
          <w:highlight w:val="none"/>
        </w:rPr>
      </w:pPr>
    </w:p>
    <w:p w14:paraId="0F357DC2">
      <w:pPr>
        <w:pStyle w:val="46"/>
        <w:jc w:val="center"/>
        <w:rPr>
          <w:sz w:val="28"/>
          <w:szCs w:val="28"/>
          <w:highlight w:val="none"/>
        </w:rPr>
      </w:pPr>
    </w:p>
    <w:p w14:paraId="122622AB">
      <w:pPr>
        <w:pStyle w:val="46"/>
        <w:jc w:val="center"/>
        <w:rPr>
          <w:sz w:val="28"/>
          <w:szCs w:val="28"/>
          <w:highlight w:val="none"/>
        </w:rPr>
      </w:pPr>
    </w:p>
    <w:p w14:paraId="5C0CAD85">
      <w:pPr>
        <w:pStyle w:val="46"/>
        <w:jc w:val="center"/>
        <w:rPr>
          <w:sz w:val="28"/>
          <w:szCs w:val="28"/>
          <w:highlight w:val="none"/>
        </w:rPr>
      </w:pPr>
    </w:p>
    <w:p w14:paraId="5319E944">
      <w:pPr>
        <w:pStyle w:val="46"/>
        <w:jc w:val="center"/>
        <w:rPr>
          <w:sz w:val="28"/>
          <w:szCs w:val="28"/>
          <w:highlight w:val="none"/>
        </w:rPr>
      </w:pPr>
    </w:p>
    <w:sectPr>
      <w:pgSz w:w="11906" w:h="16838"/>
      <w:pgMar w:top="1304" w:right="1417" w:bottom="1304"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4DDFC">
    <w:pPr>
      <w:pStyle w:val="1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0F998">
    <w:pPr>
      <w:pStyle w:val="11"/>
      <w:framePr w:wrap="around" w:vAnchor="text" w:hAnchor="margin" w:xAlign="center" w:y="1"/>
      <w:rPr>
        <w:rStyle w:val="19"/>
      </w:rPr>
    </w:pPr>
    <w:r>
      <w:fldChar w:fldCharType="begin"/>
    </w:r>
    <w:r>
      <w:rPr>
        <w:rStyle w:val="19"/>
      </w:rPr>
      <w:instrText xml:space="preserve">PAGE  </w:instrText>
    </w:r>
    <w:r>
      <w:fldChar w:fldCharType="end"/>
    </w:r>
  </w:p>
  <w:p w14:paraId="7144098B">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44536">
    <w:pPr>
      <w:pStyle w:val="11"/>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E470F3">
                          <w:pPr>
                            <w:pStyle w:val="1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vvpskBAACZAwAADgAAAGRycy9lMm9Eb2MueG1srVPNjtMwEL4j8Q6W&#10;79RpV0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6u++myQEAAJkDAAAOAAAAAAAAAAEAIAAAAB4BAABkcnMvZTJvRG9j&#10;LnhtbFBLBQYAAAAABgAGAFkBAABZBQAAAAA=&#10;">
              <v:fill on="f" focussize="0,0"/>
              <v:stroke on="f"/>
              <v:imagedata o:title=""/>
              <o:lock v:ext="edit" aspectratio="f"/>
              <v:textbox inset="0mm,0mm,0mm,0mm" style="mso-fit-shape-to-text:t;">
                <w:txbxContent>
                  <w:p w14:paraId="19E470F3">
                    <w:pPr>
                      <w:pStyle w:val="1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ABD28">
    <w:pPr>
      <w:pStyle w:val="11"/>
      <w:ind w:right="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AEBE8B">
                          <w:pPr>
                            <w:pStyle w:val="1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ovrIMkBAACZAwAADgAAAGRycy9lMm9Eb2MueG1srVPNjtMwEL4j8Q6W&#10;79RptU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qi+sgyQEAAJkDAAAOAAAAAAAAAAEAIAAAAB4BAABkcnMvZTJvRG9j&#10;LnhtbFBLBQYAAAAABgAGAFkBAABZBQAAAAA=&#10;">
              <v:fill on="f" focussize="0,0"/>
              <v:stroke on="f"/>
              <v:imagedata o:title=""/>
              <o:lock v:ext="edit" aspectratio="f"/>
              <v:textbox inset="0mm,0mm,0mm,0mm" style="mso-fit-shape-to-text:t;">
                <w:txbxContent>
                  <w:p w14:paraId="50AEBE8B">
                    <w:pPr>
                      <w:pStyle w:val="1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773FB">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26FBF3">
                          <w:pPr>
                            <w:pStyle w:val="11"/>
                            <w:rPr>
                              <w:rStyle w:val="19"/>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1626FBF3">
                    <w:pPr>
                      <w:pStyle w:val="11"/>
                      <w:rPr>
                        <w:rStyle w:val="19"/>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947D03"/>
    <w:multiLevelType w:val="singleLevel"/>
    <w:tmpl w:val="FF947D03"/>
    <w:lvl w:ilvl="0" w:tentative="0">
      <w:start w:val="8"/>
      <w:numFmt w:val="chineseCounting"/>
      <w:suff w:val="nothing"/>
      <w:lvlText w:val="%1、"/>
      <w:lvlJc w:val="left"/>
      <w:rPr>
        <w:rFonts w:hint="eastAsia"/>
      </w:rPr>
    </w:lvl>
  </w:abstractNum>
  <w:abstractNum w:abstractNumId="1">
    <w:nsid w:val="191EADE6"/>
    <w:multiLevelType w:val="singleLevel"/>
    <w:tmpl w:val="191EADE6"/>
    <w:lvl w:ilvl="0" w:tentative="0">
      <w:start w:val="3"/>
      <w:numFmt w:val="chineseCounting"/>
      <w:suff w:val="nothing"/>
      <w:lvlText w:val="%1、"/>
      <w:lvlJc w:val="left"/>
      <w:rPr>
        <w:rFonts w:hint="eastAsia"/>
      </w:rPr>
    </w:lvl>
  </w:abstractNum>
  <w:abstractNum w:abstractNumId="2">
    <w:nsid w:val="59C1B71C"/>
    <w:multiLevelType w:val="singleLevel"/>
    <w:tmpl w:val="59C1B71C"/>
    <w:lvl w:ilvl="0" w:tentative="0">
      <w:start w:val="1"/>
      <w:numFmt w:val="chineseCounting"/>
      <w:suff w:val="nothing"/>
      <w:lvlText w:val="（%1）"/>
      <w:lvlJc w:val="left"/>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NmZGZmZDRhOGJmNGYxY2ExYTMzODZjY2ZmNTE4NGEifQ=="/>
  </w:docVars>
  <w:rsids>
    <w:rsidRoot w:val="00172A27"/>
    <w:rsid w:val="00006346"/>
    <w:rsid w:val="00006675"/>
    <w:rsid w:val="000067A0"/>
    <w:rsid w:val="00010EA9"/>
    <w:rsid w:val="000115DF"/>
    <w:rsid w:val="00015692"/>
    <w:rsid w:val="0001795A"/>
    <w:rsid w:val="00034C53"/>
    <w:rsid w:val="00040204"/>
    <w:rsid w:val="00040BBC"/>
    <w:rsid w:val="00044107"/>
    <w:rsid w:val="000475DF"/>
    <w:rsid w:val="00054E08"/>
    <w:rsid w:val="00055671"/>
    <w:rsid w:val="00055E35"/>
    <w:rsid w:val="000571CA"/>
    <w:rsid w:val="00061B1C"/>
    <w:rsid w:val="00063708"/>
    <w:rsid w:val="00082E13"/>
    <w:rsid w:val="00082EB8"/>
    <w:rsid w:val="0008533A"/>
    <w:rsid w:val="00085D63"/>
    <w:rsid w:val="00086B61"/>
    <w:rsid w:val="00086EAA"/>
    <w:rsid w:val="00087C92"/>
    <w:rsid w:val="00090B18"/>
    <w:rsid w:val="0009240E"/>
    <w:rsid w:val="000959D3"/>
    <w:rsid w:val="000A1247"/>
    <w:rsid w:val="000A74B9"/>
    <w:rsid w:val="000B2714"/>
    <w:rsid w:val="000B4410"/>
    <w:rsid w:val="000B6416"/>
    <w:rsid w:val="000B6E8B"/>
    <w:rsid w:val="000C55C9"/>
    <w:rsid w:val="000D0D2A"/>
    <w:rsid w:val="000D4249"/>
    <w:rsid w:val="000E2565"/>
    <w:rsid w:val="000E7F5B"/>
    <w:rsid w:val="000F12DE"/>
    <w:rsid w:val="000F4F62"/>
    <w:rsid w:val="000F713D"/>
    <w:rsid w:val="000F7956"/>
    <w:rsid w:val="001012FC"/>
    <w:rsid w:val="0010277E"/>
    <w:rsid w:val="001043B8"/>
    <w:rsid w:val="001050FE"/>
    <w:rsid w:val="00117385"/>
    <w:rsid w:val="00122DF2"/>
    <w:rsid w:val="001241DD"/>
    <w:rsid w:val="00125DEE"/>
    <w:rsid w:val="00133386"/>
    <w:rsid w:val="00135691"/>
    <w:rsid w:val="00136B9B"/>
    <w:rsid w:val="00140D44"/>
    <w:rsid w:val="00141664"/>
    <w:rsid w:val="0014760D"/>
    <w:rsid w:val="0015022D"/>
    <w:rsid w:val="0015713D"/>
    <w:rsid w:val="00157379"/>
    <w:rsid w:val="00157469"/>
    <w:rsid w:val="00157B90"/>
    <w:rsid w:val="0016022F"/>
    <w:rsid w:val="00165FAC"/>
    <w:rsid w:val="001707D9"/>
    <w:rsid w:val="00172A27"/>
    <w:rsid w:val="00174404"/>
    <w:rsid w:val="00177E58"/>
    <w:rsid w:val="001866E2"/>
    <w:rsid w:val="001A6745"/>
    <w:rsid w:val="001A6EAD"/>
    <w:rsid w:val="001B0CC2"/>
    <w:rsid w:val="001B2A9C"/>
    <w:rsid w:val="001B52EA"/>
    <w:rsid w:val="001B6AB4"/>
    <w:rsid w:val="001B7E6B"/>
    <w:rsid w:val="001C01ED"/>
    <w:rsid w:val="001C28A1"/>
    <w:rsid w:val="001C405C"/>
    <w:rsid w:val="001C73EE"/>
    <w:rsid w:val="001D4701"/>
    <w:rsid w:val="001E13D1"/>
    <w:rsid w:val="001E72F7"/>
    <w:rsid w:val="001F5B93"/>
    <w:rsid w:val="001F60BA"/>
    <w:rsid w:val="00206035"/>
    <w:rsid w:val="00216D9F"/>
    <w:rsid w:val="00222805"/>
    <w:rsid w:val="002247B8"/>
    <w:rsid w:val="002260B0"/>
    <w:rsid w:val="00233794"/>
    <w:rsid w:val="002361D1"/>
    <w:rsid w:val="00237466"/>
    <w:rsid w:val="00246C7E"/>
    <w:rsid w:val="00247F61"/>
    <w:rsid w:val="00254027"/>
    <w:rsid w:val="00263CB0"/>
    <w:rsid w:val="00265678"/>
    <w:rsid w:val="00270A5C"/>
    <w:rsid w:val="00272AF9"/>
    <w:rsid w:val="00273093"/>
    <w:rsid w:val="00274562"/>
    <w:rsid w:val="0027586F"/>
    <w:rsid w:val="00276CEB"/>
    <w:rsid w:val="00290A0C"/>
    <w:rsid w:val="002B3414"/>
    <w:rsid w:val="002B60AB"/>
    <w:rsid w:val="002C2229"/>
    <w:rsid w:val="002C3512"/>
    <w:rsid w:val="002C52F3"/>
    <w:rsid w:val="002C7A94"/>
    <w:rsid w:val="002D2449"/>
    <w:rsid w:val="002D6C8F"/>
    <w:rsid w:val="002E01C1"/>
    <w:rsid w:val="002E078C"/>
    <w:rsid w:val="002E3F19"/>
    <w:rsid w:val="002E6FDD"/>
    <w:rsid w:val="002F085F"/>
    <w:rsid w:val="002F5AF0"/>
    <w:rsid w:val="002F6474"/>
    <w:rsid w:val="002F6EA4"/>
    <w:rsid w:val="00302DC9"/>
    <w:rsid w:val="00302FD9"/>
    <w:rsid w:val="003038AD"/>
    <w:rsid w:val="00303ECD"/>
    <w:rsid w:val="00304685"/>
    <w:rsid w:val="00306305"/>
    <w:rsid w:val="0030700F"/>
    <w:rsid w:val="00311571"/>
    <w:rsid w:val="00314962"/>
    <w:rsid w:val="00315A62"/>
    <w:rsid w:val="0032586C"/>
    <w:rsid w:val="00331A8D"/>
    <w:rsid w:val="00336E90"/>
    <w:rsid w:val="0034166A"/>
    <w:rsid w:val="003452ED"/>
    <w:rsid w:val="00346B59"/>
    <w:rsid w:val="0034721F"/>
    <w:rsid w:val="003506E6"/>
    <w:rsid w:val="00350CBC"/>
    <w:rsid w:val="00351200"/>
    <w:rsid w:val="003609D9"/>
    <w:rsid w:val="003718BB"/>
    <w:rsid w:val="003812F6"/>
    <w:rsid w:val="0038285B"/>
    <w:rsid w:val="00384141"/>
    <w:rsid w:val="00390D95"/>
    <w:rsid w:val="00393DE5"/>
    <w:rsid w:val="00395D3D"/>
    <w:rsid w:val="00397C8F"/>
    <w:rsid w:val="003A25ED"/>
    <w:rsid w:val="003A55F1"/>
    <w:rsid w:val="003B1CB3"/>
    <w:rsid w:val="003B4080"/>
    <w:rsid w:val="003B4D63"/>
    <w:rsid w:val="003B6336"/>
    <w:rsid w:val="003C4904"/>
    <w:rsid w:val="003D18BB"/>
    <w:rsid w:val="003D43E2"/>
    <w:rsid w:val="003E04DB"/>
    <w:rsid w:val="003E6670"/>
    <w:rsid w:val="003F10B8"/>
    <w:rsid w:val="003F1704"/>
    <w:rsid w:val="00403917"/>
    <w:rsid w:val="004134CF"/>
    <w:rsid w:val="004154E9"/>
    <w:rsid w:val="00424404"/>
    <w:rsid w:val="00427857"/>
    <w:rsid w:val="0043292E"/>
    <w:rsid w:val="00433684"/>
    <w:rsid w:val="00435AE1"/>
    <w:rsid w:val="00436274"/>
    <w:rsid w:val="00440964"/>
    <w:rsid w:val="004422D9"/>
    <w:rsid w:val="00463EA4"/>
    <w:rsid w:val="004662A6"/>
    <w:rsid w:val="00466812"/>
    <w:rsid w:val="004704DB"/>
    <w:rsid w:val="00470B9D"/>
    <w:rsid w:val="00473126"/>
    <w:rsid w:val="0047563D"/>
    <w:rsid w:val="00485ECB"/>
    <w:rsid w:val="00490DAB"/>
    <w:rsid w:val="00490F28"/>
    <w:rsid w:val="0049119F"/>
    <w:rsid w:val="00494870"/>
    <w:rsid w:val="00496444"/>
    <w:rsid w:val="004A2698"/>
    <w:rsid w:val="004B23F1"/>
    <w:rsid w:val="004B52CC"/>
    <w:rsid w:val="004B69E8"/>
    <w:rsid w:val="004B78CB"/>
    <w:rsid w:val="004D021D"/>
    <w:rsid w:val="004D0413"/>
    <w:rsid w:val="004D4F78"/>
    <w:rsid w:val="004D7C54"/>
    <w:rsid w:val="004E1DDF"/>
    <w:rsid w:val="004E2723"/>
    <w:rsid w:val="004E5B34"/>
    <w:rsid w:val="004E7D3D"/>
    <w:rsid w:val="004E7E2D"/>
    <w:rsid w:val="004F0B85"/>
    <w:rsid w:val="004F0C50"/>
    <w:rsid w:val="004F1EC6"/>
    <w:rsid w:val="00500F01"/>
    <w:rsid w:val="005056A5"/>
    <w:rsid w:val="0050586C"/>
    <w:rsid w:val="00505E35"/>
    <w:rsid w:val="00513570"/>
    <w:rsid w:val="0051454C"/>
    <w:rsid w:val="0051456E"/>
    <w:rsid w:val="00515DD2"/>
    <w:rsid w:val="005164E2"/>
    <w:rsid w:val="00524197"/>
    <w:rsid w:val="00531B20"/>
    <w:rsid w:val="005359EF"/>
    <w:rsid w:val="005403B9"/>
    <w:rsid w:val="00545ED4"/>
    <w:rsid w:val="00551CCB"/>
    <w:rsid w:val="0055763E"/>
    <w:rsid w:val="005645A7"/>
    <w:rsid w:val="00570D8B"/>
    <w:rsid w:val="00571BF2"/>
    <w:rsid w:val="00583A7C"/>
    <w:rsid w:val="0058631D"/>
    <w:rsid w:val="00587383"/>
    <w:rsid w:val="0059233E"/>
    <w:rsid w:val="00596468"/>
    <w:rsid w:val="0059674B"/>
    <w:rsid w:val="005A11A4"/>
    <w:rsid w:val="005A49CD"/>
    <w:rsid w:val="005A5FB9"/>
    <w:rsid w:val="005A7B63"/>
    <w:rsid w:val="005B10FB"/>
    <w:rsid w:val="005B5B36"/>
    <w:rsid w:val="005B6208"/>
    <w:rsid w:val="005C1BAC"/>
    <w:rsid w:val="005C7BD5"/>
    <w:rsid w:val="005D016F"/>
    <w:rsid w:val="005D14EC"/>
    <w:rsid w:val="005E1F65"/>
    <w:rsid w:val="005E683F"/>
    <w:rsid w:val="00606880"/>
    <w:rsid w:val="00610AC5"/>
    <w:rsid w:val="006152A8"/>
    <w:rsid w:val="00617180"/>
    <w:rsid w:val="006222C4"/>
    <w:rsid w:val="00624AC9"/>
    <w:rsid w:val="00624DB5"/>
    <w:rsid w:val="00624F25"/>
    <w:rsid w:val="0062725D"/>
    <w:rsid w:val="00635E24"/>
    <w:rsid w:val="00636027"/>
    <w:rsid w:val="00641EAC"/>
    <w:rsid w:val="00647817"/>
    <w:rsid w:val="006708E4"/>
    <w:rsid w:val="00672300"/>
    <w:rsid w:val="00676599"/>
    <w:rsid w:val="00681444"/>
    <w:rsid w:val="006853C0"/>
    <w:rsid w:val="00691E85"/>
    <w:rsid w:val="00694F71"/>
    <w:rsid w:val="006B5BFD"/>
    <w:rsid w:val="006C362A"/>
    <w:rsid w:val="006D227C"/>
    <w:rsid w:val="006E5E1B"/>
    <w:rsid w:val="006E6EF3"/>
    <w:rsid w:val="006E72D6"/>
    <w:rsid w:val="00701D57"/>
    <w:rsid w:val="0070446B"/>
    <w:rsid w:val="0070795F"/>
    <w:rsid w:val="00707A22"/>
    <w:rsid w:val="0071593E"/>
    <w:rsid w:val="00715BBE"/>
    <w:rsid w:val="007169AE"/>
    <w:rsid w:val="007421EB"/>
    <w:rsid w:val="00752627"/>
    <w:rsid w:val="00755899"/>
    <w:rsid w:val="00755AE5"/>
    <w:rsid w:val="00755D0A"/>
    <w:rsid w:val="00772D06"/>
    <w:rsid w:val="00777DD2"/>
    <w:rsid w:val="00780714"/>
    <w:rsid w:val="00780B5D"/>
    <w:rsid w:val="00782FB4"/>
    <w:rsid w:val="0078346F"/>
    <w:rsid w:val="00790CDF"/>
    <w:rsid w:val="00792FBA"/>
    <w:rsid w:val="0079435F"/>
    <w:rsid w:val="007B29AB"/>
    <w:rsid w:val="007B5895"/>
    <w:rsid w:val="007B6A80"/>
    <w:rsid w:val="007C17DE"/>
    <w:rsid w:val="007C28C6"/>
    <w:rsid w:val="007C5F7F"/>
    <w:rsid w:val="007D0487"/>
    <w:rsid w:val="007D09B5"/>
    <w:rsid w:val="007D358B"/>
    <w:rsid w:val="007D5072"/>
    <w:rsid w:val="007D5119"/>
    <w:rsid w:val="007D7DBF"/>
    <w:rsid w:val="007F1500"/>
    <w:rsid w:val="007F21A6"/>
    <w:rsid w:val="007F62CE"/>
    <w:rsid w:val="007F6A25"/>
    <w:rsid w:val="00802573"/>
    <w:rsid w:val="00812075"/>
    <w:rsid w:val="00825BC0"/>
    <w:rsid w:val="0083049B"/>
    <w:rsid w:val="00830715"/>
    <w:rsid w:val="00836C15"/>
    <w:rsid w:val="0084200D"/>
    <w:rsid w:val="00842408"/>
    <w:rsid w:val="00847CA3"/>
    <w:rsid w:val="008678CE"/>
    <w:rsid w:val="008746B6"/>
    <w:rsid w:val="00874AAF"/>
    <w:rsid w:val="00876D8E"/>
    <w:rsid w:val="008771A2"/>
    <w:rsid w:val="00881003"/>
    <w:rsid w:val="00881761"/>
    <w:rsid w:val="00882B8C"/>
    <w:rsid w:val="00885F9A"/>
    <w:rsid w:val="00886009"/>
    <w:rsid w:val="008870BE"/>
    <w:rsid w:val="008A17AA"/>
    <w:rsid w:val="008A71B4"/>
    <w:rsid w:val="008A7A6B"/>
    <w:rsid w:val="008B611E"/>
    <w:rsid w:val="008C0DD0"/>
    <w:rsid w:val="008C3A7E"/>
    <w:rsid w:val="008C73FF"/>
    <w:rsid w:val="008D19F1"/>
    <w:rsid w:val="008D313A"/>
    <w:rsid w:val="008D71DA"/>
    <w:rsid w:val="008E06FC"/>
    <w:rsid w:val="008E1088"/>
    <w:rsid w:val="008E3405"/>
    <w:rsid w:val="008E72EF"/>
    <w:rsid w:val="008F0435"/>
    <w:rsid w:val="008F5E91"/>
    <w:rsid w:val="008F5ECD"/>
    <w:rsid w:val="008F6381"/>
    <w:rsid w:val="008F6B26"/>
    <w:rsid w:val="008F7386"/>
    <w:rsid w:val="00906E62"/>
    <w:rsid w:val="009112E6"/>
    <w:rsid w:val="00912182"/>
    <w:rsid w:val="009149A2"/>
    <w:rsid w:val="00915B14"/>
    <w:rsid w:val="00917C2E"/>
    <w:rsid w:val="00921470"/>
    <w:rsid w:val="009301D0"/>
    <w:rsid w:val="00931ECE"/>
    <w:rsid w:val="00932945"/>
    <w:rsid w:val="009340A8"/>
    <w:rsid w:val="009340FE"/>
    <w:rsid w:val="009358B7"/>
    <w:rsid w:val="009466DC"/>
    <w:rsid w:val="00946D7D"/>
    <w:rsid w:val="00950F25"/>
    <w:rsid w:val="00951632"/>
    <w:rsid w:val="0095603E"/>
    <w:rsid w:val="00960051"/>
    <w:rsid w:val="009602E9"/>
    <w:rsid w:val="00960339"/>
    <w:rsid w:val="009607CD"/>
    <w:rsid w:val="009617BD"/>
    <w:rsid w:val="009661A8"/>
    <w:rsid w:val="0096698A"/>
    <w:rsid w:val="00973E15"/>
    <w:rsid w:val="00982A89"/>
    <w:rsid w:val="009965FB"/>
    <w:rsid w:val="00997C97"/>
    <w:rsid w:val="009A0206"/>
    <w:rsid w:val="009A7A30"/>
    <w:rsid w:val="009B45D7"/>
    <w:rsid w:val="009B4B69"/>
    <w:rsid w:val="009C152B"/>
    <w:rsid w:val="009C5355"/>
    <w:rsid w:val="009C58D4"/>
    <w:rsid w:val="009D25AA"/>
    <w:rsid w:val="009D7C85"/>
    <w:rsid w:val="009E44AB"/>
    <w:rsid w:val="009F1090"/>
    <w:rsid w:val="009F2282"/>
    <w:rsid w:val="009F3F4E"/>
    <w:rsid w:val="00A16F3A"/>
    <w:rsid w:val="00A275FA"/>
    <w:rsid w:val="00A27EFC"/>
    <w:rsid w:val="00A30C73"/>
    <w:rsid w:val="00A3216B"/>
    <w:rsid w:val="00A33648"/>
    <w:rsid w:val="00A360B1"/>
    <w:rsid w:val="00A373AE"/>
    <w:rsid w:val="00A42815"/>
    <w:rsid w:val="00A47024"/>
    <w:rsid w:val="00A546B7"/>
    <w:rsid w:val="00A660BB"/>
    <w:rsid w:val="00A744EF"/>
    <w:rsid w:val="00A7640C"/>
    <w:rsid w:val="00A83B85"/>
    <w:rsid w:val="00A8500B"/>
    <w:rsid w:val="00A92965"/>
    <w:rsid w:val="00A93821"/>
    <w:rsid w:val="00A9388B"/>
    <w:rsid w:val="00AA325E"/>
    <w:rsid w:val="00AA55FC"/>
    <w:rsid w:val="00AB18C5"/>
    <w:rsid w:val="00AB3853"/>
    <w:rsid w:val="00AB4FEB"/>
    <w:rsid w:val="00AB5E0A"/>
    <w:rsid w:val="00AB79D4"/>
    <w:rsid w:val="00AC2DAA"/>
    <w:rsid w:val="00AC7BB7"/>
    <w:rsid w:val="00AE1B1D"/>
    <w:rsid w:val="00AE27FD"/>
    <w:rsid w:val="00AE4DB4"/>
    <w:rsid w:val="00AE5B0D"/>
    <w:rsid w:val="00AF35C9"/>
    <w:rsid w:val="00AF4944"/>
    <w:rsid w:val="00AF539F"/>
    <w:rsid w:val="00AF7EF6"/>
    <w:rsid w:val="00B01951"/>
    <w:rsid w:val="00B05FD5"/>
    <w:rsid w:val="00B11A8F"/>
    <w:rsid w:val="00B15B8B"/>
    <w:rsid w:val="00B16C84"/>
    <w:rsid w:val="00B3436E"/>
    <w:rsid w:val="00B36B7C"/>
    <w:rsid w:val="00B425D0"/>
    <w:rsid w:val="00B428BB"/>
    <w:rsid w:val="00B45D95"/>
    <w:rsid w:val="00B52A96"/>
    <w:rsid w:val="00B54989"/>
    <w:rsid w:val="00B574D3"/>
    <w:rsid w:val="00B6288B"/>
    <w:rsid w:val="00B631CF"/>
    <w:rsid w:val="00B636A0"/>
    <w:rsid w:val="00B66762"/>
    <w:rsid w:val="00B71EA7"/>
    <w:rsid w:val="00B73200"/>
    <w:rsid w:val="00B748AC"/>
    <w:rsid w:val="00B7601E"/>
    <w:rsid w:val="00B77AF2"/>
    <w:rsid w:val="00B80DE2"/>
    <w:rsid w:val="00B827B7"/>
    <w:rsid w:val="00B847AA"/>
    <w:rsid w:val="00B967D3"/>
    <w:rsid w:val="00BA238F"/>
    <w:rsid w:val="00BA3BD8"/>
    <w:rsid w:val="00BA4A90"/>
    <w:rsid w:val="00BB1BDF"/>
    <w:rsid w:val="00BB5059"/>
    <w:rsid w:val="00BB50C6"/>
    <w:rsid w:val="00BB55D4"/>
    <w:rsid w:val="00BC023E"/>
    <w:rsid w:val="00BC2269"/>
    <w:rsid w:val="00BC6E96"/>
    <w:rsid w:val="00BD0A71"/>
    <w:rsid w:val="00BD33A5"/>
    <w:rsid w:val="00BD6D54"/>
    <w:rsid w:val="00BE001A"/>
    <w:rsid w:val="00BE068C"/>
    <w:rsid w:val="00BE1FB1"/>
    <w:rsid w:val="00BE5F0C"/>
    <w:rsid w:val="00BE64DA"/>
    <w:rsid w:val="00BF0713"/>
    <w:rsid w:val="00BF4BB9"/>
    <w:rsid w:val="00BF5073"/>
    <w:rsid w:val="00C00BE1"/>
    <w:rsid w:val="00C11524"/>
    <w:rsid w:val="00C12894"/>
    <w:rsid w:val="00C15AD0"/>
    <w:rsid w:val="00C16E1E"/>
    <w:rsid w:val="00C20CEC"/>
    <w:rsid w:val="00C27776"/>
    <w:rsid w:val="00C430E3"/>
    <w:rsid w:val="00C441C9"/>
    <w:rsid w:val="00C4442E"/>
    <w:rsid w:val="00C4569C"/>
    <w:rsid w:val="00C460A9"/>
    <w:rsid w:val="00C51574"/>
    <w:rsid w:val="00C65847"/>
    <w:rsid w:val="00C714A9"/>
    <w:rsid w:val="00C7740C"/>
    <w:rsid w:val="00C826F2"/>
    <w:rsid w:val="00C90014"/>
    <w:rsid w:val="00C97E3F"/>
    <w:rsid w:val="00CB05D7"/>
    <w:rsid w:val="00CB36DC"/>
    <w:rsid w:val="00CB63AB"/>
    <w:rsid w:val="00CB6857"/>
    <w:rsid w:val="00CC29EB"/>
    <w:rsid w:val="00CC2D7D"/>
    <w:rsid w:val="00CC7B1A"/>
    <w:rsid w:val="00CD4D14"/>
    <w:rsid w:val="00CE2714"/>
    <w:rsid w:val="00CE3B9A"/>
    <w:rsid w:val="00CE4492"/>
    <w:rsid w:val="00CE6562"/>
    <w:rsid w:val="00CE7E1D"/>
    <w:rsid w:val="00CF62B2"/>
    <w:rsid w:val="00D01016"/>
    <w:rsid w:val="00D045BB"/>
    <w:rsid w:val="00D04CF4"/>
    <w:rsid w:val="00D072BF"/>
    <w:rsid w:val="00D12C4B"/>
    <w:rsid w:val="00D22263"/>
    <w:rsid w:val="00D24C79"/>
    <w:rsid w:val="00D344F9"/>
    <w:rsid w:val="00D37106"/>
    <w:rsid w:val="00D42111"/>
    <w:rsid w:val="00D444E9"/>
    <w:rsid w:val="00D47BED"/>
    <w:rsid w:val="00D517CB"/>
    <w:rsid w:val="00D52C4B"/>
    <w:rsid w:val="00D6237B"/>
    <w:rsid w:val="00D66971"/>
    <w:rsid w:val="00D71860"/>
    <w:rsid w:val="00D72735"/>
    <w:rsid w:val="00D7343C"/>
    <w:rsid w:val="00D75740"/>
    <w:rsid w:val="00D814FB"/>
    <w:rsid w:val="00D8527A"/>
    <w:rsid w:val="00D95341"/>
    <w:rsid w:val="00D971C0"/>
    <w:rsid w:val="00D974A3"/>
    <w:rsid w:val="00DA359A"/>
    <w:rsid w:val="00DB2C14"/>
    <w:rsid w:val="00DB56BF"/>
    <w:rsid w:val="00DB6596"/>
    <w:rsid w:val="00DB6AFC"/>
    <w:rsid w:val="00DB73A4"/>
    <w:rsid w:val="00DD15BE"/>
    <w:rsid w:val="00DD3771"/>
    <w:rsid w:val="00DE3995"/>
    <w:rsid w:val="00DE4CA2"/>
    <w:rsid w:val="00DE7CEC"/>
    <w:rsid w:val="00DF627B"/>
    <w:rsid w:val="00E03A9D"/>
    <w:rsid w:val="00E04130"/>
    <w:rsid w:val="00E0455F"/>
    <w:rsid w:val="00E04DBD"/>
    <w:rsid w:val="00E1239E"/>
    <w:rsid w:val="00E130CD"/>
    <w:rsid w:val="00E23CE9"/>
    <w:rsid w:val="00E241CE"/>
    <w:rsid w:val="00E25228"/>
    <w:rsid w:val="00E26132"/>
    <w:rsid w:val="00E3282F"/>
    <w:rsid w:val="00E348AA"/>
    <w:rsid w:val="00E37FED"/>
    <w:rsid w:val="00E51C49"/>
    <w:rsid w:val="00E57EAC"/>
    <w:rsid w:val="00E60A9C"/>
    <w:rsid w:val="00E650FB"/>
    <w:rsid w:val="00E66077"/>
    <w:rsid w:val="00E66BD0"/>
    <w:rsid w:val="00E672B1"/>
    <w:rsid w:val="00E77D33"/>
    <w:rsid w:val="00E8064B"/>
    <w:rsid w:val="00E81AAD"/>
    <w:rsid w:val="00E866FB"/>
    <w:rsid w:val="00EA16BB"/>
    <w:rsid w:val="00EA4724"/>
    <w:rsid w:val="00EB12B5"/>
    <w:rsid w:val="00EB6695"/>
    <w:rsid w:val="00EB6987"/>
    <w:rsid w:val="00EC53D6"/>
    <w:rsid w:val="00EC739F"/>
    <w:rsid w:val="00ED07C9"/>
    <w:rsid w:val="00ED2911"/>
    <w:rsid w:val="00ED2A24"/>
    <w:rsid w:val="00ED73EE"/>
    <w:rsid w:val="00ED7E68"/>
    <w:rsid w:val="00EE7BAC"/>
    <w:rsid w:val="00EF11CC"/>
    <w:rsid w:val="00F037BA"/>
    <w:rsid w:val="00F045BC"/>
    <w:rsid w:val="00F1196A"/>
    <w:rsid w:val="00F11A01"/>
    <w:rsid w:val="00F13656"/>
    <w:rsid w:val="00F13979"/>
    <w:rsid w:val="00F17016"/>
    <w:rsid w:val="00F249E7"/>
    <w:rsid w:val="00F25849"/>
    <w:rsid w:val="00F412AA"/>
    <w:rsid w:val="00F45AF5"/>
    <w:rsid w:val="00F5502D"/>
    <w:rsid w:val="00F55A12"/>
    <w:rsid w:val="00F574C2"/>
    <w:rsid w:val="00F629B5"/>
    <w:rsid w:val="00F630C5"/>
    <w:rsid w:val="00F65299"/>
    <w:rsid w:val="00F758A8"/>
    <w:rsid w:val="00F77E1B"/>
    <w:rsid w:val="00F84C93"/>
    <w:rsid w:val="00F90926"/>
    <w:rsid w:val="00F91DA2"/>
    <w:rsid w:val="00F938BB"/>
    <w:rsid w:val="00F96149"/>
    <w:rsid w:val="00FA0FED"/>
    <w:rsid w:val="00FA202F"/>
    <w:rsid w:val="00FA28A2"/>
    <w:rsid w:val="00FA6C0C"/>
    <w:rsid w:val="00FA7863"/>
    <w:rsid w:val="00FB31EA"/>
    <w:rsid w:val="00FB47FC"/>
    <w:rsid w:val="00FC14C0"/>
    <w:rsid w:val="00FC3DFA"/>
    <w:rsid w:val="00FC480E"/>
    <w:rsid w:val="00FC7AAB"/>
    <w:rsid w:val="00FD0A3F"/>
    <w:rsid w:val="00FE0D9D"/>
    <w:rsid w:val="00FE26B2"/>
    <w:rsid w:val="00FE2799"/>
    <w:rsid w:val="00FF25FB"/>
    <w:rsid w:val="00FF530F"/>
    <w:rsid w:val="00FF7043"/>
    <w:rsid w:val="0103164E"/>
    <w:rsid w:val="010A5091"/>
    <w:rsid w:val="01395070"/>
    <w:rsid w:val="014D44ED"/>
    <w:rsid w:val="01B97F5E"/>
    <w:rsid w:val="01C0309B"/>
    <w:rsid w:val="01DA48EA"/>
    <w:rsid w:val="01ED30B6"/>
    <w:rsid w:val="020A29E6"/>
    <w:rsid w:val="0227136C"/>
    <w:rsid w:val="023C403F"/>
    <w:rsid w:val="0262292C"/>
    <w:rsid w:val="026B6DF0"/>
    <w:rsid w:val="027345B1"/>
    <w:rsid w:val="02B95402"/>
    <w:rsid w:val="02C0473E"/>
    <w:rsid w:val="02E025AB"/>
    <w:rsid w:val="0353676A"/>
    <w:rsid w:val="036208AE"/>
    <w:rsid w:val="03722CE6"/>
    <w:rsid w:val="03912F41"/>
    <w:rsid w:val="03952C9D"/>
    <w:rsid w:val="0444488F"/>
    <w:rsid w:val="04504BAA"/>
    <w:rsid w:val="045F4DED"/>
    <w:rsid w:val="046A541C"/>
    <w:rsid w:val="046B3792"/>
    <w:rsid w:val="048D195A"/>
    <w:rsid w:val="04D331AF"/>
    <w:rsid w:val="04E65BBC"/>
    <w:rsid w:val="0515557A"/>
    <w:rsid w:val="0519632A"/>
    <w:rsid w:val="053A3164"/>
    <w:rsid w:val="053A7F61"/>
    <w:rsid w:val="053D5014"/>
    <w:rsid w:val="055A1E59"/>
    <w:rsid w:val="058A546B"/>
    <w:rsid w:val="059000EA"/>
    <w:rsid w:val="059F6AC9"/>
    <w:rsid w:val="05BB1221"/>
    <w:rsid w:val="05BB24F7"/>
    <w:rsid w:val="05C03E89"/>
    <w:rsid w:val="05C55124"/>
    <w:rsid w:val="05EE2563"/>
    <w:rsid w:val="06085925"/>
    <w:rsid w:val="062E40AE"/>
    <w:rsid w:val="063F4ED6"/>
    <w:rsid w:val="06603302"/>
    <w:rsid w:val="06980D7F"/>
    <w:rsid w:val="06CA4598"/>
    <w:rsid w:val="06D07D32"/>
    <w:rsid w:val="06ED3295"/>
    <w:rsid w:val="071546AD"/>
    <w:rsid w:val="071F71BB"/>
    <w:rsid w:val="07526D57"/>
    <w:rsid w:val="07610F29"/>
    <w:rsid w:val="076971BA"/>
    <w:rsid w:val="076A5F83"/>
    <w:rsid w:val="076D10BE"/>
    <w:rsid w:val="078F59E9"/>
    <w:rsid w:val="07E76EF1"/>
    <w:rsid w:val="081B54CF"/>
    <w:rsid w:val="08216276"/>
    <w:rsid w:val="08A234FA"/>
    <w:rsid w:val="08B00A4C"/>
    <w:rsid w:val="08DC1E32"/>
    <w:rsid w:val="08FA6E92"/>
    <w:rsid w:val="095911F2"/>
    <w:rsid w:val="097E7F9F"/>
    <w:rsid w:val="09AB2883"/>
    <w:rsid w:val="09CD27F9"/>
    <w:rsid w:val="0A4A63EE"/>
    <w:rsid w:val="0A4C5E14"/>
    <w:rsid w:val="0A4E393A"/>
    <w:rsid w:val="0AA07F0D"/>
    <w:rsid w:val="0ABD175F"/>
    <w:rsid w:val="0ACC43B1"/>
    <w:rsid w:val="0AEA2F37"/>
    <w:rsid w:val="0B1C57E6"/>
    <w:rsid w:val="0B2E5519"/>
    <w:rsid w:val="0B5A630E"/>
    <w:rsid w:val="0B5F034B"/>
    <w:rsid w:val="0B662F05"/>
    <w:rsid w:val="0B785764"/>
    <w:rsid w:val="0BA83B93"/>
    <w:rsid w:val="0BCF0AAA"/>
    <w:rsid w:val="0BEB1564"/>
    <w:rsid w:val="0C1A2A94"/>
    <w:rsid w:val="0C256AE2"/>
    <w:rsid w:val="0C476893"/>
    <w:rsid w:val="0C75384C"/>
    <w:rsid w:val="0C965FE6"/>
    <w:rsid w:val="0CBF0B1F"/>
    <w:rsid w:val="0D073416"/>
    <w:rsid w:val="0D3D1A44"/>
    <w:rsid w:val="0D455D27"/>
    <w:rsid w:val="0D4A25DE"/>
    <w:rsid w:val="0D613CFD"/>
    <w:rsid w:val="0D666D69"/>
    <w:rsid w:val="0D935B07"/>
    <w:rsid w:val="0DB92CC8"/>
    <w:rsid w:val="0E2C0C2E"/>
    <w:rsid w:val="0E5763F4"/>
    <w:rsid w:val="0E596577"/>
    <w:rsid w:val="0E725C2C"/>
    <w:rsid w:val="0E73429B"/>
    <w:rsid w:val="0E8B610F"/>
    <w:rsid w:val="0E947445"/>
    <w:rsid w:val="0EE000F6"/>
    <w:rsid w:val="0EF40828"/>
    <w:rsid w:val="0FFF1232"/>
    <w:rsid w:val="0FFF56D6"/>
    <w:rsid w:val="102C2202"/>
    <w:rsid w:val="104C1224"/>
    <w:rsid w:val="10A02A15"/>
    <w:rsid w:val="10CD65EF"/>
    <w:rsid w:val="10E83B64"/>
    <w:rsid w:val="10F13271"/>
    <w:rsid w:val="112453F4"/>
    <w:rsid w:val="115832F0"/>
    <w:rsid w:val="12241808"/>
    <w:rsid w:val="12290783"/>
    <w:rsid w:val="128F6ED4"/>
    <w:rsid w:val="12AD31C8"/>
    <w:rsid w:val="12F27580"/>
    <w:rsid w:val="12FC6228"/>
    <w:rsid w:val="132A1F07"/>
    <w:rsid w:val="13337B71"/>
    <w:rsid w:val="138A175B"/>
    <w:rsid w:val="139C284F"/>
    <w:rsid w:val="13C02E53"/>
    <w:rsid w:val="13E9101C"/>
    <w:rsid w:val="140E413A"/>
    <w:rsid w:val="14495172"/>
    <w:rsid w:val="145271E3"/>
    <w:rsid w:val="145C6C53"/>
    <w:rsid w:val="14706BA3"/>
    <w:rsid w:val="14787422"/>
    <w:rsid w:val="14A5684C"/>
    <w:rsid w:val="14BC63CC"/>
    <w:rsid w:val="151614F8"/>
    <w:rsid w:val="151C7433"/>
    <w:rsid w:val="152574D2"/>
    <w:rsid w:val="15467C98"/>
    <w:rsid w:val="155567D1"/>
    <w:rsid w:val="159468F5"/>
    <w:rsid w:val="15AB2C91"/>
    <w:rsid w:val="15D20433"/>
    <w:rsid w:val="15D60C87"/>
    <w:rsid w:val="16235C9A"/>
    <w:rsid w:val="163D6990"/>
    <w:rsid w:val="16491459"/>
    <w:rsid w:val="167364D6"/>
    <w:rsid w:val="168A7749"/>
    <w:rsid w:val="169F551D"/>
    <w:rsid w:val="17072E77"/>
    <w:rsid w:val="171A07FE"/>
    <w:rsid w:val="1768590F"/>
    <w:rsid w:val="17935082"/>
    <w:rsid w:val="17B07EE9"/>
    <w:rsid w:val="17FC0588"/>
    <w:rsid w:val="18185587"/>
    <w:rsid w:val="181B027E"/>
    <w:rsid w:val="181B4524"/>
    <w:rsid w:val="182201B4"/>
    <w:rsid w:val="1830753E"/>
    <w:rsid w:val="18A4506D"/>
    <w:rsid w:val="18C26AAD"/>
    <w:rsid w:val="18F41B50"/>
    <w:rsid w:val="190A6EA1"/>
    <w:rsid w:val="192F2B88"/>
    <w:rsid w:val="19484788"/>
    <w:rsid w:val="19574DA2"/>
    <w:rsid w:val="19E00326"/>
    <w:rsid w:val="19EF0D1A"/>
    <w:rsid w:val="1A131456"/>
    <w:rsid w:val="1A2E7F61"/>
    <w:rsid w:val="1A3569FD"/>
    <w:rsid w:val="1A36182D"/>
    <w:rsid w:val="1A5172CB"/>
    <w:rsid w:val="1A5823C6"/>
    <w:rsid w:val="1A5C140C"/>
    <w:rsid w:val="1A730D10"/>
    <w:rsid w:val="1AC23FF4"/>
    <w:rsid w:val="1AD50A96"/>
    <w:rsid w:val="1B1A56C5"/>
    <w:rsid w:val="1B6616A2"/>
    <w:rsid w:val="1BA23D6B"/>
    <w:rsid w:val="1BBE5C3B"/>
    <w:rsid w:val="1BCB44A6"/>
    <w:rsid w:val="1BCE57CF"/>
    <w:rsid w:val="1BE95B4C"/>
    <w:rsid w:val="1C0302FC"/>
    <w:rsid w:val="1C1E0C92"/>
    <w:rsid w:val="1C2344FA"/>
    <w:rsid w:val="1C3D3FBF"/>
    <w:rsid w:val="1C4353EA"/>
    <w:rsid w:val="1C550B58"/>
    <w:rsid w:val="1C5651B5"/>
    <w:rsid w:val="1C9828F5"/>
    <w:rsid w:val="1C9A2A0F"/>
    <w:rsid w:val="1C9C4D7C"/>
    <w:rsid w:val="1CB57D11"/>
    <w:rsid w:val="1CC652BF"/>
    <w:rsid w:val="1D1125BF"/>
    <w:rsid w:val="1D230C56"/>
    <w:rsid w:val="1D295B40"/>
    <w:rsid w:val="1D354AC5"/>
    <w:rsid w:val="1D4E423D"/>
    <w:rsid w:val="1D500702"/>
    <w:rsid w:val="1D6F5C49"/>
    <w:rsid w:val="1DA03128"/>
    <w:rsid w:val="1DA71368"/>
    <w:rsid w:val="1DB45D52"/>
    <w:rsid w:val="1DBD74E5"/>
    <w:rsid w:val="1DC35F95"/>
    <w:rsid w:val="1E392021"/>
    <w:rsid w:val="1E5B7F7C"/>
    <w:rsid w:val="1E965458"/>
    <w:rsid w:val="1EA336D1"/>
    <w:rsid w:val="1EAC4C7B"/>
    <w:rsid w:val="1EC01001"/>
    <w:rsid w:val="1EC87003"/>
    <w:rsid w:val="1ECC70CB"/>
    <w:rsid w:val="1EE12B77"/>
    <w:rsid w:val="1EE138DE"/>
    <w:rsid w:val="1EEE5021"/>
    <w:rsid w:val="1F460C2C"/>
    <w:rsid w:val="1F4E6D09"/>
    <w:rsid w:val="1F7E03C6"/>
    <w:rsid w:val="1FBC0EEE"/>
    <w:rsid w:val="1FC61CBA"/>
    <w:rsid w:val="1FD57EC6"/>
    <w:rsid w:val="1FEB67FD"/>
    <w:rsid w:val="203B0212"/>
    <w:rsid w:val="2051717C"/>
    <w:rsid w:val="20A93E9D"/>
    <w:rsid w:val="20F65508"/>
    <w:rsid w:val="21350F58"/>
    <w:rsid w:val="214210A0"/>
    <w:rsid w:val="217B23CD"/>
    <w:rsid w:val="218B501C"/>
    <w:rsid w:val="219958A5"/>
    <w:rsid w:val="219F2875"/>
    <w:rsid w:val="21AD4F92"/>
    <w:rsid w:val="21CD5401"/>
    <w:rsid w:val="21CE7887"/>
    <w:rsid w:val="21DB710B"/>
    <w:rsid w:val="21F06E74"/>
    <w:rsid w:val="22124DF5"/>
    <w:rsid w:val="22276D94"/>
    <w:rsid w:val="224C47AB"/>
    <w:rsid w:val="225418B2"/>
    <w:rsid w:val="227C5339"/>
    <w:rsid w:val="22B20386"/>
    <w:rsid w:val="22CF718A"/>
    <w:rsid w:val="22E76282"/>
    <w:rsid w:val="22F97D63"/>
    <w:rsid w:val="2331054B"/>
    <w:rsid w:val="238166D6"/>
    <w:rsid w:val="238812B1"/>
    <w:rsid w:val="238A6513"/>
    <w:rsid w:val="239053EA"/>
    <w:rsid w:val="23953F30"/>
    <w:rsid w:val="239A32F4"/>
    <w:rsid w:val="23B00DAE"/>
    <w:rsid w:val="23F84985"/>
    <w:rsid w:val="241412F8"/>
    <w:rsid w:val="2418246B"/>
    <w:rsid w:val="241A158A"/>
    <w:rsid w:val="24322777"/>
    <w:rsid w:val="244A2F6C"/>
    <w:rsid w:val="247C7268"/>
    <w:rsid w:val="24A14BCF"/>
    <w:rsid w:val="24A26904"/>
    <w:rsid w:val="24FC7162"/>
    <w:rsid w:val="250D0D56"/>
    <w:rsid w:val="2551032A"/>
    <w:rsid w:val="257D111F"/>
    <w:rsid w:val="25A713A5"/>
    <w:rsid w:val="25A95A70"/>
    <w:rsid w:val="25B74631"/>
    <w:rsid w:val="26090EEF"/>
    <w:rsid w:val="260D24A3"/>
    <w:rsid w:val="26712A32"/>
    <w:rsid w:val="267C4336"/>
    <w:rsid w:val="26940218"/>
    <w:rsid w:val="26B54001"/>
    <w:rsid w:val="26C96D36"/>
    <w:rsid w:val="271635D9"/>
    <w:rsid w:val="27383550"/>
    <w:rsid w:val="274E49B8"/>
    <w:rsid w:val="27640314"/>
    <w:rsid w:val="27644345"/>
    <w:rsid w:val="27C23B81"/>
    <w:rsid w:val="27D8088F"/>
    <w:rsid w:val="2840413E"/>
    <w:rsid w:val="28524421"/>
    <w:rsid w:val="28691DDD"/>
    <w:rsid w:val="289C555E"/>
    <w:rsid w:val="28DE2C6A"/>
    <w:rsid w:val="28F57CE7"/>
    <w:rsid w:val="293933AF"/>
    <w:rsid w:val="29444FC3"/>
    <w:rsid w:val="29573003"/>
    <w:rsid w:val="295D00EB"/>
    <w:rsid w:val="29905158"/>
    <w:rsid w:val="29AA48A0"/>
    <w:rsid w:val="29C40D94"/>
    <w:rsid w:val="29CA071F"/>
    <w:rsid w:val="29D15596"/>
    <w:rsid w:val="29E01C27"/>
    <w:rsid w:val="29F06A74"/>
    <w:rsid w:val="29F759A2"/>
    <w:rsid w:val="2A1738F0"/>
    <w:rsid w:val="2A181417"/>
    <w:rsid w:val="2A2A6DCB"/>
    <w:rsid w:val="2A587E8E"/>
    <w:rsid w:val="2A6D31B1"/>
    <w:rsid w:val="2A7C6085"/>
    <w:rsid w:val="2A7D31F3"/>
    <w:rsid w:val="2A9A5B2F"/>
    <w:rsid w:val="2AAA6513"/>
    <w:rsid w:val="2AFE060C"/>
    <w:rsid w:val="2B594DDC"/>
    <w:rsid w:val="2BA2153D"/>
    <w:rsid w:val="2BF15B5D"/>
    <w:rsid w:val="2C016B75"/>
    <w:rsid w:val="2C2B66A0"/>
    <w:rsid w:val="2C2E6CCF"/>
    <w:rsid w:val="2C792587"/>
    <w:rsid w:val="2C8D4781"/>
    <w:rsid w:val="2CB90C8F"/>
    <w:rsid w:val="2CF2314A"/>
    <w:rsid w:val="2D03015C"/>
    <w:rsid w:val="2D3E7D46"/>
    <w:rsid w:val="2D660F0B"/>
    <w:rsid w:val="2D867DD7"/>
    <w:rsid w:val="2DF301D1"/>
    <w:rsid w:val="2DF434B8"/>
    <w:rsid w:val="2DF51A73"/>
    <w:rsid w:val="2E0C619B"/>
    <w:rsid w:val="2E132801"/>
    <w:rsid w:val="2E5F29B7"/>
    <w:rsid w:val="2E620EB2"/>
    <w:rsid w:val="2E756D50"/>
    <w:rsid w:val="2EB931C8"/>
    <w:rsid w:val="2EBA0CEE"/>
    <w:rsid w:val="2EBF6305"/>
    <w:rsid w:val="2F041F69"/>
    <w:rsid w:val="2F0562E7"/>
    <w:rsid w:val="2F2A7C22"/>
    <w:rsid w:val="2F3C780C"/>
    <w:rsid w:val="2F5C2645"/>
    <w:rsid w:val="2F6173BC"/>
    <w:rsid w:val="2F683C38"/>
    <w:rsid w:val="2FA8676C"/>
    <w:rsid w:val="30077F63"/>
    <w:rsid w:val="30406DA5"/>
    <w:rsid w:val="30442F65"/>
    <w:rsid w:val="304A1F48"/>
    <w:rsid w:val="307F5D4C"/>
    <w:rsid w:val="30DC319E"/>
    <w:rsid w:val="31083F93"/>
    <w:rsid w:val="312126AC"/>
    <w:rsid w:val="3126266B"/>
    <w:rsid w:val="312A3F19"/>
    <w:rsid w:val="31A67109"/>
    <w:rsid w:val="31AB44D5"/>
    <w:rsid w:val="31E651EC"/>
    <w:rsid w:val="32126AFE"/>
    <w:rsid w:val="321D3A6E"/>
    <w:rsid w:val="32266487"/>
    <w:rsid w:val="32323E7D"/>
    <w:rsid w:val="323B0398"/>
    <w:rsid w:val="324A0061"/>
    <w:rsid w:val="32545820"/>
    <w:rsid w:val="327D20BF"/>
    <w:rsid w:val="32890278"/>
    <w:rsid w:val="32992A91"/>
    <w:rsid w:val="32CC6916"/>
    <w:rsid w:val="32F20BA1"/>
    <w:rsid w:val="33063EDA"/>
    <w:rsid w:val="335106A7"/>
    <w:rsid w:val="336E5F6C"/>
    <w:rsid w:val="33811DDB"/>
    <w:rsid w:val="338B3E90"/>
    <w:rsid w:val="33D939C5"/>
    <w:rsid w:val="33EE4311"/>
    <w:rsid w:val="340A564A"/>
    <w:rsid w:val="342C61EA"/>
    <w:rsid w:val="34575802"/>
    <w:rsid w:val="34627E5E"/>
    <w:rsid w:val="34651225"/>
    <w:rsid w:val="34663677"/>
    <w:rsid w:val="34912AFD"/>
    <w:rsid w:val="349677C7"/>
    <w:rsid w:val="34A915E9"/>
    <w:rsid w:val="35DB18E9"/>
    <w:rsid w:val="35F9608A"/>
    <w:rsid w:val="35FD3123"/>
    <w:rsid w:val="36164FE6"/>
    <w:rsid w:val="36172693"/>
    <w:rsid w:val="364D069A"/>
    <w:rsid w:val="3680425C"/>
    <w:rsid w:val="369C6A2C"/>
    <w:rsid w:val="36A857BA"/>
    <w:rsid w:val="36C912A8"/>
    <w:rsid w:val="36C941C4"/>
    <w:rsid w:val="370E5054"/>
    <w:rsid w:val="370F2958"/>
    <w:rsid w:val="371D3CDA"/>
    <w:rsid w:val="375D490D"/>
    <w:rsid w:val="37704640"/>
    <w:rsid w:val="37BA7BC1"/>
    <w:rsid w:val="38041615"/>
    <w:rsid w:val="38102E24"/>
    <w:rsid w:val="38571C7D"/>
    <w:rsid w:val="38773D65"/>
    <w:rsid w:val="38807DFD"/>
    <w:rsid w:val="38A72D01"/>
    <w:rsid w:val="38AC78FA"/>
    <w:rsid w:val="38BD38B5"/>
    <w:rsid w:val="38CF183A"/>
    <w:rsid w:val="38EC419A"/>
    <w:rsid w:val="39227BBC"/>
    <w:rsid w:val="395064A4"/>
    <w:rsid w:val="395C1320"/>
    <w:rsid w:val="397D1296"/>
    <w:rsid w:val="3980682D"/>
    <w:rsid w:val="399D7916"/>
    <w:rsid w:val="39D20986"/>
    <w:rsid w:val="39E561B5"/>
    <w:rsid w:val="3A0E3473"/>
    <w:rsid w:val="3A173499"/>
    <w:rsid w:val="3A1B0664"/>
    <w:rsid w:val="3A5B06B9"/>
    <w:rsid w:val="3A663AD8"/>
    <w:rsid w:val="3AA50855"/>
    <w:rsid w:val="3AB74666"/>
    <w:rsid w:val="3AB962FE"/>
    <w:rsid w:val="3AD2116E"/>
    <w:rsid w:val="3B184D66"/>
    <w:rsid w:val="3B667C69"/>
    <w:rsid w:val="3B707BDE"/>
    <w:rsid w:val="3BA46497"/>
    <w:rsid w:val="3BC046A9"/>
    <w:rsid w:val="3C052EC6"/>
    <w:rsid w:val="3C0D1504"/>
    <w:rsid w:val="3C2A69B7"/>
    <w:rsid w:val="3C373E57"/>
    <w:rsid w:val="3C5E6E58"/>
    <w:rsid w:val="3CA36D89"/>
    <w:rsid w:val="3CB66F99"/>
    <w:rsid w:val="3CB7686D"/>
    <w:rsid w:val="3CDD20B9"/>
    <w:rsid w:val="3CE8111C"/>
    <w:rsid w:val="3CEB1B4E"/>
    <w:rsid w:val="3CF117EB"/>
    <w:rsid w:val="3CFE624A"/>
    <w:rsid w:val="3D08513F"/>
    <w:rsid w:val="3D62220E"/>
    <w:rsid w:val="3D663B56"/>
    <w:rsid w:val="3E014244"/>
    <w:rsid w:val="3E1C2D73"/>
    <w:rsid w:val="3E541FD3"/>
    <w:rsid w:val="3E660240"/>
    <w:rsid w:val="3E682515"/>
    <w:rsid w:val="3E940B72"/>
    <w:rsid w:val="3EA443F3"/>
    <w:rsid w:val="3EED47C8"/>
    <w:rsid w:val="3EFC6FC5"/>
    <w:rsid w:val="3F147E81"/>
    <w:rsid w:val="3F367567"/>
    <w:rsid w:val="3F7A7817"/>
    <w:rsid w:val="3FE456B9"/>
    <w:rsid w:val="3FE710E5"/>
    <w:rsid w:val="400F3C67"/>
    <w:rsid w:val="402406BD"/>
    <w:rsid w:val="40491ED2"/>
    <w:rsid w:val="40793ED7"/>
    <w:rsid w:val="40807FDE"/>
    <w:rsid w:val="408F7A37"/>
    <w:rsid w:val="40A86BF9"/>
    <w:rsid w:val="40AD420F"/>
    <w:rsid w:val="40C1415E"/>
    <w:rsid w:val="410A2831"/>
    <w:rsid w:val="41AE5FCB"/>
    <w:rsid w:val="41DA54D8"/>
    <w:rsid w:val="41E225DE"/>
    <w:rsid w:val="41E9396D"/>
    <w:rsid w:val="425D7EB7"/>
    <w:rsid w:val="429B1D01"/>
    <w:rsid w:val="42AE0712"/>
    <w:rsid w:val="42E94F55"/>
    <w:rsid w:val="42EA4C96"/>
    <w:rsid w:val="42F94C65"/>
    <w:rsid w:val="434163C8"/>
    <w:rsid w:val="43947B59"/>
    <w:rsid w:val="43DC62F6"/>
    <w:rsid w:val="43E268C5"/>
    <w:rsid w:val="43EC14F2"/>
    <w:rsid w:val="44501024"/>
    <w:rsid w:val="446E63AB"/>
    <w:rsid w:val="44817E8C"/>
    <w:rsid w:val="449A71A0"/>
    <w:rsid w:val="44C73F64"/>
    <w:rsid w:val="44F437A6"/>
    <w:rsid w:val="44F56185"/>
    <w:rsid w:val="454F78C2"/>
    <w:rsid w:val="458F75FC"/>
    <w:rsid w:val="45A91255"/>
    <w:rsid w:val="45CE5353"/>
    <w:rsid w:val="460316FE"/>
    <w:rsid w:val="4646138E"/>
    <w:rsid w:val="465D66D7"/>
    <w:rsid w:val="466B2BA2"/>
    <w:rsid w:val="46737CA9"/>
    <w:rsid w:val="467C0356"/>
    <w:rsid w:val="468C72FB"/>
    <w:rsid w:val="46E110B6"/>
    <w:rsid w:val="46E97F6B"/>
    <w:rsid w:val="46EB1201"/>
    <w:rsid w:val="470C1094"/>
    <w:rsid w:val="470E79D1"/>
    <w:rsid w:val="47215957"/>
    <w:rsid w:val="47394321"/>
    <w:rsid w:val="4740402F"/>
    <w:rsid w:val="479775E7"/>
    <w:rsid w:val="47D14C87"/>
    <w:rsid w:val="483C7010"/>
    <w:rsid w:val="484F6F83"/>
    <w:rsid w:val="48505CB1"/>
    <w:rsid w:val="48564B08"/>
    <w:rsid w:val="488937B4"/>
    <w:rsid w:val="48CA7928"/>
    <w:rsid w:val="48D30982"/>
    <w:rsid w:val="49316623"/>
    <w:rsid w:val="49361E82"/>
    <w:rsid w:val="493F549A"/>
    <w:rsid w:val="495D582A"/>
    <w:rsid w:val="495E1FB7"/>
    <w:rsid w:val="49B900C8"/>
    <w:rsid w:val="49DF5C0E"/>
    <w:rsid w:val="4A235542"/>
    <w:rsid w:val="4A2C3B16"/>
    <w:rsid w:val="4A5D0A54"/>
    <w:rsid w:val="4A6D2C7D"/>
    <w:rsid w:val="4A8219F2"/>
    <w:rsid w:val="4B09418D"/>
    <w:rsid w:val="4B2A0929"/>
    <w:rsid w:val="4B3E0902"/>
    <w:rsid w:val="4B555CD5"/>
    <w:rsid w:val="4B9B321A"/>
    <w:rsid w:val="4C1F216E"/>
    <w:rsid w:val="4C3468FE"/>
    <w:rsid w:val="4C4579F1"/>
    <w:rsid w:val="4C4A325A"/>
    <w:rsid w:val="4C4D6E52"/>
    <w:rsid w:val="4C51283A"/>
    <w:rsid w:val="4C9F6777"/>
    <w:rsid w:val="4CA24E44"/>
    <w:rsid w:val="4CBC1C5F"/>
    <w:rsid w:val="4D300A92"/>
    <w:rsid w:val="4D340D6C"/>
    <w:rsid w:val="4D5A3970"/>
    <w:rsid w:val="4D754306"/>
    <w:rsid w:val="4DB25F47"/>
    <w:rsid w:val="4DE578DC"/>
    <w:rsid w:val="4DF40007"/>
    <w:rsid w:val="4E097912"/>
    <w:rsid w:val="4E137126"/>
    <w:rsid w:val="4E425DB9"/>
    <w:rsid w:val="4E581E19"/>
    <w:rsid w:val="4E7C32D2"/>
    <w:rsid w:val="4E872543"/>
    <w:rsid w:val="4EA62CB3"/>
    <w:rsid w:val="4EB86BA1"/>
    <w:rsid w:val="4EBC62BA"/>
    <w:rsid w:val="4ED56242"/>
    <w:rsid w:val="4EE4474B"/>
    <w:rsid w:val="4EE93950"/>
    <w:rsid w:val="4EEF00E8"/>
    <w:rsid w:val="4F043B94"/>
    <w:rsid w:val="4F1B0EDE"/>
    <w:rsid w:val="4F245FE4"/>
    <w:rsid w:val="4F2E0C11"/>
    <w:rsid w:val="4F3D70A6"/>
    <w:rsid w:val="4F3E57A5"/>
    <w:rsid w:val="4F442D1B"/>
    <w:rsid w:val="4F53028C"/>
    <w:rsid w:val="4F70087F"/>
    <w:rsid w:val="4F866F08"/>
    <w:rsid w:val="4FCC3F86"/>
    <w:rsid w:val="500876B4"/>
    <w:rsid w:val="501222E0"/>
    <w:rsid w:val="5013409B"/>
    <w:rsid w:val="50193FF8"/>
    <w:rsid w:val="501F681B"/>
    <w:rsid w:val="50454464"/>
    <w:rsid w:val="50574197"/>
    <w:rsid w:val="5057605B"/>
    <w:rsid w:val="505D2B7C"/>
    <w:rsid w:val="50B5526C"/>
    <w:rsid w:val="50E21C5F"/>
    <w:rsid w:val="513E0EB3"/>
    <w:rsid w:val="51650038"/>
    <w:rsid w:val="516B614C"/>
    <w:rsid w:val="51A82AFF"/>
    <w:rsid w:val="51B95CA3"/>
    <w:rsid w:val="51CB7676"/>
    <w:rsid w:val="51CC34A8"/>
    <w:rsid w:val="52383B54"/>
    <w:rsid w:val="523920F6"/>
    <w:rsid w:val="5272350A"/>
    <w:rsid w:val="52902483"/>
    <w:rsid w:val="52B729E6"/>
    <w:rsid w:val="532B20AC"/>
    <w:rsid w:val="532B33FC"/>
    <w:rsid w:val="533E33EC"/>
    <w:rsid w:val="53D53D51"/>
    <w:rsid w:val="53F51AA4"/>
    <w:rsid w:val="53FD09A0"/>
    <w:rsid w:val="54091C4C"/>
    <w:rsid w:val="542A2224"/>
    <w:rsid w:val="542C5727"/>
    <w:rsid w:val="545C7FCE"/>
    <w:rsid w:val="54651179"/>
    <w:rsid w:val="54E570D4"/>
    <w:rsid w:val="55180399"/>
    <w:rsid w:val="5524708E"/>
    <w:rsid w:val="552A5CFA"/>
    <w:rsid w:val="555A4BC9"/>
    <w:rsid w:val="55735625"/>
    <w:rsid w:val="55DA564E"/>
    <w:rsid w:val="567E7A8C"/>
    <w:rsid w:val="56DF248B"/>
    <w:rsid w:val="570D302A"/>
    <w:rsid w:val="57262CE7"/>
    <w:rsid w:val="57315742"/>
    <w:rsid w:val="574F3E1A"/>
    <w:rsid w:val="576261DF"/>
    <w:rsid w:val="577264D4"/>
    <w:rsid w:val="57751D0C"/>
    <w:rsid w:val="577F71DD"/>
    <w:rsid w:val="578F4EAB"/>
    <w:rsid w:val="57981C80"/>
    <w:rsid w:val="579B393A"/>
    <w:rsid w:val="57CA611A"/>
    <w:rsid w:val="57E767C7"/>
    <w:rsid w:val="57FC6D5E"/>
    <w:rsid w:val="580F2B10"/>
    <w:rsid w:val="581153A2"/>
    <w:rsid w:val="58624603"/>
    <w:rsid w:val="58720A8B"/>
    <w:rsid w:val="5874004B"/>
    <w:rsid w:val="58D97E3F"/>
    <w:rsid w:val="58F246FB"/>
    <w:rsid w:val="58FB7589"/>
    <w:rsid w:val="5905591A"/>
    <w:rsid w:val="591016D1"/>
    <w:rsid w:val="59123351"/>
    <w:rsid w:val="591C56D4"/>
    <w:rsid w:val="593254E5"/>
    <w:rsid w:val="59367040"/>
    <w:rsid w:val="599049DF"/>
    <w:rsid w:val="59987606"/>
    <w:rsid w:val="59A224CD"/>
    <w:rsid w:val="59B944A5"/>
    <w:rsid w:val="59D14FBA"/>
    <w:rsid w:val="59EF6B98"/>
    <w:rsid w:val="5A006E37"/>
    <w:rsid w:val="5A0E0EBC"/>
    <w:rsid w:val="5A193F82"/>
    <w:rsid w:val="5A231DDC"/>
    <w:rsid w:val="5A4C186A"/>
    <w:rsid w:val="5A612EC8"/>
    <w:rsid w:val="5A8738CB"/>
    <w:rsid w:val="5A9050B0"/>
    <w:rsid w:val="5A9C5121"/>
    <w:rsid w:val="5AF276C4"/>
    <w:rsid w:val="5B1E751C"/>
    <w:rsid w:val="5B260FD6"/>
    <w:rsid w:val="5B547C51"/>
    <w:rsid w:val="5B6B01F4"/>
    <w:rsid w:val="5BDE39BF"/>
    <w:rsid w:val="5C3A7393"/>
    <w:rsid w:val="5C3D42BB"/>
    <w:rsid w:val="5C4001D5"/>
    <w:rsid w:val="5C4B1054"/>
    <w:rsid w:val="5C5E3D55"/>
    <w:rsid w:val="5C750C15"/>
    <w:rsid w:val="5C7B1749"/>
    <w:rsid w:val="5C904C62"/>
    <w:rsid w:val="5D383EF0"/>
    <w:rsid w:val="5D41498A"/>
    <w:rsid w:val="5D632F71"/>
    <w:rsid w:val="5D6E0146"/>
    <w:rsid w:val="5D861C18"/>
    <w:rsid w:val="5DB04EE7"/>
    <w:rsid w:val="5DBD47E8"/>
    <w:rsid w:val="5DD14279"/>
    <w:rsid w:val="5DEC28A5"/>
    <w:rsid w:val="5E074753"/>
    <w:rsid w:val="5E307FB0"/>
    <w:rsid w:val="5E6F2DD3"/>
    <w:rsid w:val="5E723E03"/>
    <w:rsid w:val="5F107184"/>
    <w:rsid w:val="5F2E55FD"/>
    <w:rsid w:val="5F3D27AA"/>
    <w:rsid w:val="5F680B1B"/>
    <w:rsid w:val="5F732FB5"/>
    <w:rsid w:val="5FF6625F"/>
    <w:rsid w:val="60121376"/>
    <w:rsid w:val="601C4AB5"/>
    <w:rsid w:val="60275934"/>
    <w:rsid w:val="60363DC9"/>
    <w:rsid w:val="60437AFE"/>
    <w:rsid w:val="606279E7"/>
    <w:rsid w:val="606F67F6"/>
    <w:rsid w:val="60AA0313"/>
    <w:rsid w:val="60CE29C5"/>
    <w:rsid w:val="60CF186B"/>
    <w:rsid w:val="60EC6236"/>
    <w:rsid w:val="616B7AA3"/>
    <w:rsid w:val="61BA4B64"/>
    <w:rsid w:val="61D72C34"/>
    <w:rsid w:val="61D92C5E"/>
    <w:rsid w:val="62356A2C"/>
    <w:rsid w:val="62383D8D"/>
    <w:rsid w:val="625E13B5"/>
    <w:rsid w:val="62606EDB"/>
    <w:rsid w:val="627110E9"/>
    <w:rsid w:val="62763944"/>
    <w:rsid w:val="62922779"/>
    <w:rsid w:val="62E47B0C"/>
    <w:rsid w:val="630A766E"/>
    <w:rsid w:val="632F6A42"/>
    <w:rsid w:val="6333639E"/>
    <w:rsid w:val="635A5577"/>
    <w:rsid w:val="63761A88"/>
    <w:rsid w:val="639036BB"/>
    <w:rsid w:val="63D47B81"/>
    <w:rsid w:val="63F55D49"/>
    <w:rsid w:val="64056F5A"/>
    <w:rsid w:val="64322AF9"/>
    <w:rsid w:val="643A70CD"/>
    <w:rsid w:val="6486074F"/>
    <w:rsid w:val="64D60C5C"/>
    <w:rsid w:val="64DD0CB7"/>
    <w:rsid w:val="64E02555"/>
    <w:rsid w:val="64E061F4"/>
    <w:rsid w:val="64E57B6C"/>
    <w:rsid w:val="64ED42C6"/>
    <w:rsid w:val="65322F4A"/>
    <w:rsid w:val="65613696"/>
    <w:rsid w:val="656F7435"/>
    <w:rsid w:val="65BB7852"/>
    <w:rsid w:val="65CA6BB3"/>
    <w:rsid w:val="65D26342"/>
    <w:rsid w:val="65DF77B0"/>
    <w:rsid w:val="66080A67"/>
    <w:rsid w:val="662332A7"/>
    <w:rsid w:val="662D2531"/>
    <w:rsid w:val="6635067F"/>
    <w:rsid w:val="66550BC1"/>
    <w:rsid w:val="66687E56"/>
    <w:rsid w:val="66707909"/>
    <w:rsid w:val="66EF11B8"/>
    <w:rsid w:val="67000C8D"/>
    <w:rsid w:val="671A1427"/>
    <w:rsid w:val="67205B77"/>
    <w:rsid w:val="672A3F5C"/>
    <w:rsid w:val="673152EA"/>
    <w:rsid w:val="674048CA"/>
    <w:rsid w:val="67547394"/>
    <w:rsid w:val="675B47A0"/>
    <w:rsid w:val="67E759A9"/>
    <w:rsid w:val="67F3434E"/>
    <w:rsid w:val="681A38D9"/>
    <w:rsid w:val="682A60F2"/>
    <w:rsid w:val="68447EF6"/>
    <w:rsid w:val="68663B55"/>
    <w:rsid w:val="68863414"/>
    <w:rsid w:val="68A2686F"/>
    <w:rsid w:val="68CF6B69"/>
    <w:rsid w:val="68E85E7D"/>
    <w:rsid w:val="68EF0FB9"/>
    <w:rsid w:val="693E5A9D"/>
    <w:rsid w:val="69501D10"/>
    <w:rsid w:val="69C47A8E"/>
    <w:rsid w:val="69F64E55"/>
    <w:rsid w:val="6A022A43"/>
    <w:rsid w:val="6A3D7B02"/>
    <w:rsid w:val="6A883473"/>
    <w:rsid w:val="6AA477C5"/>
    <w:rsid w:val="6AD22940"/>
    <w:rsid w:val="6AF56B03"/>
    <w:rsid w:val="6B247310"/>
    <w:rsid w:val="6B5E55F9"/>
    <w:rsid w:val="6B767770"/>
    <w:rsid w:val="6B9A4F46"/>
    <w:rsid w:val="6BB40298"/>
    <w:rsid w:val="6BFD39ED"/>
    <w:rsid w:val="6C1A00FB"/>
    <w:rsid w:val="6C1D5E3D"/>
    <w:rsid w:val="6C2D1656"/>
    <w:rsid w:val="6C4B0FB9"/>
    <w:rsid w:val="6C7245B5"/>
    <w:rsid w:val="6C8849BD"/>
    <w:rsid w:val="6C8F3DA8"/>
    <w:rsid w:val="6CAB169B"/>
    <w:rsid w:val="6CAF1042"/>
    <w:rsid w:val="6CF57C54"/>
    <w:rsid w:val="6CFE1E5E"/>
    <w:rsid w:val="6D3B2A1F"/>
    <w:rsid w:val="6D410C09"/>
    <w:rsid w:val="6D552B7E"/>
    <w:rsid w:val="6D763A57"/>
    <w:rsid w:val="6DC66881"/>
    <w:rsid w:val="6E0F7A08"/>
    <w:rsid w:val="6E1A1331"/>
    <w:rsid w:val="6EED4B08"/>
    <w:rsid w:val="6F353786"/>
    <w:rsid w:val="6F415570"/>
    <w:rsid w:val="6F7402E8"/>
    <w:rsid w:val="6F891E77"/>
    <w:rsid w:val="6F9920B5"/>
    <w:rsid w:val="6F9E54E7"/>
    <w:rsid w:val="6FAA5C3A"/>
    <w:rsid w:val="6FBF2B83"/>
    <w:rsid w:val="6FD11419"/>
    <w:rsid w:val="702451A8"/>
    <w:rsid w:val="702C05BE"/>
    <w:rsid w:val="70616C6C"/>
    <w:rsid w:val="70C27F8A"/>
    <w:rsid w:val="70D8038D"/>
    <w:rsid w:val="70DF4383"/>
    <w:rsid w:val="70FE448F"/>
    <w:rsid w:val="710566F7"/>
    <w:rsid w:val="71235CA4"/>
    <w:rsid w:val="71275730"/>
    <w:rsid w:val="716F0EE9"/>
    <w:rsid w:val="718B0CD8"/>
    <w:rsid w:val="719426FE"/>
    <w:rsid w:val="71A52403"/>
    <w:rsid w:val="71A768D5"/>
    <w:rsid w:val="71D8296E"/>
    <w:rsid w:val="71F94C57"/>
    <w:rsid w:val="71FB7940"/>
    <w:rsid w:val="72025083"/>
    <w:rsid w:val="720D17EA"/>
    <w:rsid w:val="728C5F76"/>
    <w:rsid w:val="729C412D"/>
    <w:rsid w:val="72AA34C0"/>
    <w:rsid w:val="72B55021"/>
    <w:rsid w:val="72C53017"/>
    <w:rsid w:val="72C53ED8"/>
    <w:rsid w:val="72DA4A88"/>
    <w:rsid w:val="72DB349A"/>
    <w:rsid w:val="72E359B0"/>
    <w:rsid w:val="72F06D77"/>
    <w:rsid w:val="730F5FD4"/>
    <w:rsid w:val="73460FAE"/>
    <w:rsid w:val="736445B1"/>
    <w:rsid w:val="73675350"/>
    <w:rsid w:val="737D05E6"/>
    <w:rsid w:val="74234ECB"/>
    <w:rsid w:val="74275AAB"/>
    <w:rsid w:val="74600FBD"/>
    <w:rsid w:val="74FA1937"/>
    <w:rsid w:val="75120FB8"/>
    <w:rsid w:val="75201557"/>
    <w:rsid w:val="752E388F"/>
    <w:rsid w:val="753541F8"/>
    <w:rsid w:val="756D1BE3"/>
    <w:rsid w:val="756F728A"/>
    <w:rsid w:val="75A42D01"/>
    <w:rsid w:val="75AC3209"/>
    <w:rsid w:val="75B45C34"/>
    <w:rsid w:val="75DE03EB"/>
    <w:rsid w:val="75DE5CD1"/>
    <w:rsid w:val="75F030A0"/>
    <w:rsid w:val="76513FCB"/>
    <w:rsid w:val="76694B5B"/>
    <w:rsid w:val="76982C90"/>
    <w:rsid w:val="76B566AC"/>
    <w:rsid w:val="76F44F37"/>
    <w:rsid w:val="770E5AE1"/>
    <w:rsid w:val="77185B7F"/>
    <w:rsid w:val="77240E68"/>
    <w:rsid w:val="774B1C49"/>
    <w:rsid w:val="774C38D8"/>
    <w:rsid w:val="77CA11F3"/>
    <w:rsid w:val="77CD4BBB"/>
    <w:rsid w:val="77D575CC"/>
    <w:rsid w:val="77E965D4"/>
    <w:rsid w:val="780827EF"/>
    <w:rsid w:val="782E17BB"/>
    <w:rsid w:val="782F5920"/>
    <w:rsid w:val="783C3AEF"/>
    <w:rsid w:val="783E1615"/>
    <w:rsid w:val="784B32EA"/>
    <w:rsid w:val="784C3D32"/>
    <w:rsid w:val="784E1CF0"/>
    <w:rsid w:val="78F36C3E"/>
    <w:rsid w:val="78F80068"/>
    <w:rsid w:val="7908577F"/>
    <w:rsid w:val="791A5BDE"/>
    <w:rsid w:val="79305B27"/>
    <w:rsid w:val="79621333"/>
    <w:rsid w:val="79703A50"/>
    <w:rsid w:val="798058E5"/>
    <w:rsid w:val="7A0F3D79"/>
    <w:rsid w:val="7A891B60"/>
    <w:rsid w:val="7AB7745D"/>
    <w:rsid w:val="7ACA4603"/>
    <w:rsid w:val="7AEF6BF7"/>
    <w:rsid w:val="7AF10BC1"/>
    <w:rsid w:val="7B4E7DC1"/>
    <w:rsid w:val="7B8879D0"/>
    <w:rsid w:val="7B8B3AFB"/>
    <w:rsid w:val="7BC13896"/>
    <w:rsid w:val="7BD55DBA"/>
    <w:rsid w:val="7BF165E3"/>
    <w:rsid w:val="7C0466D2"/>
    <w:rsid w:val="7C266648"/>
    <w:rsid w:val="7C311CC6"/>
    <w:rsid w:val="7C466E89"/>
    <w:rsid w:val="7C812F75"/>
    <w:rsid w:val="7CD30D7F"/>
    <w:rsid w:val="7CD5595C"/>
    <w:rsid w:val="7CD97B5E"/>
    <w:rsid w:val="7CF230D6"/>
    <w:rsid w:val="7D2334DD"/>
    <w:rsid w:val="7D5E0064"/>
    <w:rsid w:val="7D9D6D3A"/>
    <w:rsid w:val="7DB54A06"/>
    <w:rsid w:val="7DCE76CA"/>
    <w:rsid w:val="7DD15654"/>
    <w:rsid w:val="7DDA1DE0"/>
    <w:rsid w:val="7DDD25C1"/>
    <w:rsid w:val="7E407222"/>
    <w:rsid w:val="7E5E79E2"/>
    <w:rsid w:val="7EAF7DB8"/>
    <w:rsid w:val="7ECE3489"/>
    <w:rsid w:val="7ED04751"/>
    <w:rsid w:val="7EF34E07"/>
    <w:rsid w:val="7F256126"/>
    <w:rsid w:val="7FB87EFF"/>
    <w:rsid w:val="7FD37543"/>
    <w:rsid w:val="7FF144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b/>
      <w:bCs/>
      <w:kern w:val="44"/>
      <w:sz w:val="44"/>
      <w:szCs w:val="44"/>
    </w:rPr>
  </w:style>
  <w:style w:type="paragraph" w:styleId="3">
    <w:name w:val="heading 2"/>
    <w:basedOn w:val="1"/>
    <w:next w:val="1"/>
    <w:link w:val="23"/>
    <w:autoRedefine/>
    <w:qFormat/>
    <w:uiPriority w:val="0"/>
    <w:pPr>
      <w:keepNext/>
      <w:keepLines/>
      <w:spacing w:line="576" w:lineRule="auto"/>
      <w:ind w:firstLine="200" w:firstLineChars="200"/>
      <w:outlineLvl w:val="1"/>
    </w:pPr>
    <w:rPr>
      <w:rFonts w:ascii="宋体" w:hAnsi="宋体"/>
      <w:b/>
      <w:bCs/>
      <w:sz w:val="28"/>
      <w:szCs w:val="32"/>
    </w:rPr>
  </w:style>
  <w:style w:type="paragraph" w:styleId="4">
    <w:name w:val="heading 3"/>
    <w:basedOn w:val="1"/>
    <w:next w:val="1"/>
    <w:link w:val="24"/>
    <w:autoRedefine/>
    <w:qFormat/>
    <w:uiPriority w:val="0"/>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5"/>
    <w:autoRedefine/>
    <w:qFormat/>
    <w:uiPriority w:val="0"/>
    <w:pPr>
      <w:jc w:val="left"/>
    </w:pPr>
    <w:rPr>
      <w:szCs w:val="24"/>
    </w:rPr>
  </w:style>
  <w:style w:type="paragraph" w:styleId="6">
    <w:name w:val="Body Text"/>
    <w:basedOn w:val="1"/>
    <w:next w:val="7"/>
    <w:link w:val="22"/>
    <w:autoRedefine/>
    <w:qFormat/>
    <w:uiPriority w:val="0"/>
    <w:pPr>
      <w:spacing w:after="120"/>
    </w:pPr>
    <w:rPr>
      <w:sz w:val="32"/>
    </w:rPr>
  </w:style>
  <w:style w:type="paragraph" w:customStyle="1" w:styleId="7">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8">
    <w:name w:val="Body Text Indent"/>
    <w:basedOn w:val="1"/>
    <w:autoRedefine/>
    <w:qFormat/>
    <w:uiPriority w:val="0"/>
    <w:pPr>
      <w:spacing w:line="320" w:lineRule="exact"/>
      <w:ind w:firstLine="570"/>
    </w:pPr>
    <w:rPr>
      <w:rFonts w:ascii="宋体"/>
    </w:rPr>
  </w:style>
  <w:style w:type="paragraph" w:styleId="9">
    <w:name w:val="Plain Text"/>
    <w:basedOn w:val="1"/>
    <w:link w:val="26"/>
    <w:autoRedefine/>
    <w:qFormat/>
    <w:uiPriority w:val="0"/>
    <w:rPr>
      <w:rFonts w:ascii="宋体" w:hAnsi="Courier New"/>
      <w:szCs w:val="21"/>
    </w:rPr>
  </w:style>
  <w:style w:type="paragraph" w:styleId="10">
    <w:name w:val="Balloon Text"/>
    <w:basedOn w:val="1"/>
    <w:autoRedefine/>
    <w:qFormat/>
    <w:uiPriority w:val="0"/>
    <w:rPr>
      <w:sz w:val="18"/>
      <w:szCs w:val="18"/>
    </w:rPr>
  </w:style>
  <w:style w:type="paragraph" w:styleId="11">
    <w:name w:val="footer"/>
    <w:basedOn w:val="1"/>
    <w:autoRedefine/>
    <w:qFormat/>
    <w:uiPriority w:val="0"/>
    <w:pPr>
      <w:tabs>
        <w:tab w:val="center" w:pos="4153"/>
        <w:tab w:val="right" w:pos="8306"/>
      </w:tabs>
      <w:snapToGrid w:val="0"/>
      <w:jc w:val="left"/>
    </w:pPr>
    <w:rPr>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14">
    <w:name w:val="Body Text First Indent"/>
    <w:basedOn w:val="6"/>
    <w:next w:val="15"/>
    <w:autoRedefine/>
    <w:qFormat/>
    <w:uiPriority w:val="0"/>
    <w:pPr>
      <w:ind w:firstLine="420" w:firstLineChars="100"/>
    </w:pPr>
    <w:rPr>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character" w:customStyle="1" w:styleId="22">
    <w:name w:val="正文文本 字符"/>
    <w:link w:val="6"/>
    <w:autoRedefine/>
    <w:qFormat/>
    <w:uiPriority w:val="0"/>
    <w:rPr>
      <w:rFonts w:ascii="Times New Roman" w:hAnsi="Times New Roman" w:eastAsia="宋体" w:cs="Times New Roman"/>
      <w:kern w:val="2"/>
      <w:sz w:val="32"/>
    </w:rPr>
  </w:style>
  <w:style w:type="character" w:customStyle="1" w:styleId="23">
    <w:name w:val="标题 2 字符"/>
    <w:link w:val="3"/>
    <w:autoRedefine/>
    <w:qFormat/>
    <w:uiPriority w:val="0"/>
    <w:rPr>
      <w:rFonts w:ascii="宋体" w:hAnsi="宋体" w:eastAsia="宋体" w:cs="Times New Roman"/>
      <w:b/>
      <w:bCs/>
      <w:kern w:val="2"/>
      <w:sz w:val="28"/>
      <w:szCs w:val="32"/>
    </w:rPr>
  </w:style>
  <w:style w:type="character" w:customStyle="1" w:styleId="24">
    <w:name w:val="标题 3 字符"/>
    <w:link w:val="4"/>
    <w:autoRedefine/>
    <w:qFormat/>
    <w:uiPriority w:val="0"/>
    <w:rPr>
      <w:rFonts w:ascii="Times New Roman" w:hAnsi="Times New Roman" w:eastAsia="宋体" w:cs="Times New Roman"/>
      <w:b/>
      <w:bCs/>
      <w:kern w:val="2"/>
      <w:sz w:val="32"/>
      <w:szCs w:val="32"/>
    </w:rPr>
  </w:style>
  <w:style w:type="character" w:customStyle="1" w:styleId="25">
    <w:name w:val="批注文字 字符"/>
    <w:link w:val="5"/>
    <w:autoRedefine/>
    <w:qFormat/>
    <w:uiPriority w:val="0"/>
    <w:rPr>
      <w:rFonts w:ascii="Times New Roman" w:hAnsi="Times New Roman" w:eastAsia="宋体" w:cs="Times New Roman"/>
      <w:kern w:val="2"/>
      <w:sz w:val="21"/>
      <w:szCs w:val="24"/>
    </w:rPr>
  </w:style>
  <w:style w:type="character" w:customStyle="1" w:styleId="26">
    <w:name w:val="纯文本 字符"/>
    <w:link w:val="9"/>
    <w:autoRedefine/>
    <w:qFormat/>
    <w:uiPriority w:val="0"/>
    <w:rPr>
      <w:rFonts w:ascii="宋体" w:hAnsi="Courier New" w:eastAsia="宋体" w:cs="Courier New"/>
      <w:kern w:val="2"/>
      <w:sz w:val="21"/>
      <w:szCs w:val="21"/>
    </w:rPr>
  </w:style>
  <w:style w:type="character" w:customStyle="1" w:styleId="27">
    <w:name w:val="纯文本 Char1"/>
    <w:autoRedefine/>
    <w:qFormat/>
    <w:uiPriority w:val="0"/>
    <w:rPr>
      <w:rFonts w:ascii="宋体" w:hAnsi="Courier New" w:eastAsia="宋体" w:cs="Courier New"/>
      <w:kern w:val="2"/>
      <w:sz w:val="21"/>
      <w:szCs w:val="21"/>
    </w:rPr>
  </w:style>
  <w:style w:type="character" w:customStyle="1" w:styleId="28">
    <w:name w:val="批注文字 Char1"/>
    <w:autoRedefine/>
    <w:qFormat/>
    <w:uiPriority w:val="0"/>
    <w:rPr>
      <w:rFonts w:ascii="Times New Roman" w:hAnsi="Times New Roman" w:eastAsia="宋体" w:cs="Times New Roman"/>
      <w:kern w:val="2"/>
      <w:sz w:val="21"/>
      <w:szCs w:val="24"/>
    </w:rPr>
  </w:style>
  <w:style w:type="character" w:customStyle="1" w:styleId="29">
    <w:name w:val="Char Char"/>
    <w:autoRedefine/>
    <w:qFormat/>
    <w:uiPriority w:val="0"/>
    <w:rPr>
      <w:rFonts w:ascii="宋体" w:hAnsi="Courier New" w:eastAsia="宋体" w:cs="Courier New"/>
      <w:kern w:val="2"/>
      <w:sz w:val="21"/>
      <w:szCs w:val="21"/>
    </w:rPr>
  </w:style>
  <w:style w:type="paragraph" w:customStyle="1" w:styleId="30">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1">
    <w:name w:val="Char Char Char Char Char Char Char"/>
    <w:basedOn w:val="1"/>
    <w:autoRedefine/>
    <w:qFormat/>
    <w:uiPriority w:val="0"/>
    <w:rPr>
      <w:szCs w:val="24"/>
    </w:rPr>
  </w:style>
  <w:style w:type="paragraph" w:customStyle="1" w:styleId="32">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3">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
    <w:name w:val="font6"/>
    <w:basedOn w:val="1"/>
    <w:autoRedefine/>
    <w:qFormat/>
    <w:uiPriority w:val="0"/>
    <w:pPr>
      <w:widowControl/>
      <w:spacing w:before="100" w:beforeAutospacing="1" w:after="100" w:afterAutospacing="1"/>
      <w:jc w:val="left"/>
    </w:pPr>
    <w:rPr>
      <w:rFonts w:ascii="宋体" w:hAnsi="宋体" w:cs="宋体"/>
      <w:kern w:val="0"/>
      <w:sz w:val="20"/>
    </w:rPr>
  </w:style>
  <w:style w:type="paragraph" w:customStyle="1" w:styleId="35">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36">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37">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8">
    <w:name w:val="xl7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9">
    <w:name w:val="font8"/>
    <w:basedOn w:val="1"/>
    <w:autoRedefine/>
    <w:qFormat/>
    <w:uiPriority w:val="0"/>
    <w:pPr>
      <w:widowControl/>
      <w:spacing w:before="100" w:beforeAutospacing="1" w:after="100" w:afterAutospacing="1"/>
      <w:jc w:val="left"/>
    </w:pPr>
    <w:rPr>
      <w:rFonts w:ascii="宋体" w:hAnsi="宋体" w:cs="宋体"/>
      <w:b/>
      <w:bCs/>
      <w:color w:val="FF0000"/>
      <w:kern w:val="0"/>
      <w:sz w:val="20"/>
    </w:rPr>
  </w:style>
  <w:style w:type="paragraph" w:customStyle="1" w:styleId="40">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1">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42">
    <w:name w:val="xl64"/>
    <w:basedOn w:val="1"/>
    <w:autoRedefine/>
    <w:qFormat/>
    <w:uiPriority w:val="0"/>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43">
    <w:name w:val="xl71"/>
    <w:basedOn w:val="1"/>
    <w:autoRedefine/>
    <w:qFormat/>
    <w:uiPriority w:val="0"/>
    <w:pPr>
      <w:widowControl/>
      <w:spacing w:before="100" w:beforeAutospacing="1" w:after="100" w:afterAutospacing="1"/>
      <w:jc w:val="left"/>
    </w:pPr>
    <w:rPr>
      <w:rFonts w:ascii="宋体" w:hAnsi="宋体" w:cs="宋体"/>
      <w:b/>
      <w:bCs/>
      <w:color w:val="000000"/>
      <w:kern w:val="0"/>
      <w:sz w:val="36"/>
      <w:szCs w:val="36"/>
    </w:rPr>
  </w:style>
  <w:style w:type="paragraph" w:customStyle="1" w:styleId="44">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45">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46">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7">
    <w:name w:val="未处理的提及1"/>
    <w:basedOn w:val="18"/>
    <w:semiHidden/>
    <w:unhideWhenUsed/>
    <w:qFormat/>
    <w:uiPriority w:val="99"/>
    <w:rPr>
      <w:color w:val="605E5C"/>
      <w:shd w:val="clear" w:color="auto" w:fill="E1DFDD"/>
    </w:rPr>
  </w:style>
  <w:style w:type="paragraph" w:customStyle="1" w:styleId="48">
    <w:name w:val="Blockquote"/>
    <w:basedOn w:val="1"/>
    <w:qFormat/>
    <w:uiPriority w:val="0"/>
    <w:pPr>
      <w:autoSpaceDE w:val="0"/>
      <w:autoSpaceDN w:val="0"/>
      <w:adjustRightInd w:val="0"/>
      <w:spacing w:before="100" w:after="100"/>
      <w:ind w:left="360" w:right="360"/>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43</Pages>
  <Words>19355</Words>
  <Characters>20690</Characters>
  <Lines>923</Lines>
  <Paragraphs>919</Paragraphs>
  <TotalTime>7</TotalTime>
  <ScaleCrop>false</ScaleCrop>
  <LinksUpToDate>false</LinksUpToDate>
  <CharactersWithSpaces>24969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2026-08-29T02:36:00Z</dcterms:created>
  <dc:creator>Administrator</dc:creator>
  <cp:lastModifiedBy>晓玲</cp:lastModifiedBy>
  <cp:lastPrinted>2023-02-17T05:57:00Z</cp:lastPrinted>
  <dcterms:modified xsi:type="dcterms:W3CDTF">2026-09-01T09:45:50Z</dcterms:modified>
  <dc:title>山西潞安工程有限公司竞争性谈判文件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4F3E37D53DC54D03957D3D6CCEDD9633_13</vt:lpwstr>
  </property>
  <property fmtid="{D5CDD505-2E9C-101B-9397-08002B2CF9AE}" pid="4" name="KSOTemplateDocerSaveRecord">
    <vt:lpwstr>eyJoZGlkIjoiMDNmZGZmZDRhOGJmNGYxY2ExYTMzODZjY2ZmNTE4NGEiLCJ1c2VySWQiOiIzMjcyODkxMDUifQ==</vt:lpwstr>
  </property>
</Properties>
</file>