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0DFF81">
      <w:pPr>
        <w:jc w:val="center"/>
        <w:rPr>
          <w:rFonts w:hint="eastAsia" w:ascii="宋体" w:hAnsi="宋体" w:eastAsia="宋体" w:cs="宋体"/>
          <w:b/>
          <w:bCs/>
          <w:color w:val="000000" w:themeColor="text1"/>
          <w:sz w:val="44"/>
          <w:szCs w:val="44"/>
          <w14:textFill>
            <w14:solidFill>
              <w14:schemeClr w14:val="tx1"/>
            </w14:solidFill>
          </w14:textFill>
        </w:rPr>
      </w:pPr>
    </w:p>
    <w:p w14:paraId="55075A14">
      <w:pPr>
        <w:rPr>
          <w:rFonts w:hint="eastAsia" w:ascii="宋体" w:hAnsi="宋体" w:eastAsia="宋体" w:cs="宋体"/>
          <w:b/>
          <w:bCs/>
          <w:color w:val="000000" w:themeColor="text1"/>
          <w:sz w:val="44"/>
          <w:szCs w:val="44"/>
          <w:highlight w:val="none"/>
          <w14:textFill>
            <w14:solidFill>
              <w14:schemeClr w14:val="tx1"/>
            </w14:solidFill>
          </w14:textFill>
        </w:rPr>
      </w:pPr>
    </w:p>
    <w:p w14:paraId="31F799CE">
      <w:pPr>
        <w:pStyle w:val="7"/>
        <w:rPr>
          <w:rFonts w:hint="eastAsia" w:ascii="宋体" w:hAnsi="宋体" w:eastAsia="宋体" w:cs="宋体"/>
          <w:color w:val="000000" w:themeColor="text1"/>
          <w:highlight w:val="none"/>
          <w14:textFill>
            <w14:solidFill>
              <w14:schemeClr w14:val="tx1"/>
            </w14:solidFill>
          </w14:textFill>
        </w:rPr>
      </w:pPr>
    </w:p>
    <w:p w14:paraId="6AD515EF">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0DAFE24A">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77FBA8D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w:t>
      </w:r>
      <w:bookmarkStart w:id="160" w:name="_GoBack"/>
      <w:r>
        <w:rPr>
          <w:rFonts w:hint="eastAsia" w:ascii="宋体" w:hAnsi="宋体" w:cs="宋体"/>
          <w:b/>
          <w:bCs/>
          <w:color w:val="000000" w:themeColor="text1"/>
          <w:sz w:val="32"/>
          <w:szCs w:val="32"/>
          <w:highlight w:val="none"/>
          <w:u w:val="single"/>
          <w:lang w:val="en-US" w:eastAsia="zh-CN"/>
          <w14:textFill>
            <w14:solidFill>
              <w14:schemeClr w14:val="tx1"/>
            </w14:solidFill>
          </w14:textFill>
        </w:rPr>
        <w:t>L）121</w:t>
      </w:r>
    </w:p>
    <w:p w14:paraId="6399CE17">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D7A0E19">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19F7FDA9">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82A42C">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30BA35FF">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1DCC1AAE">
      <w:pPr>
        <w:pStyle w:val="14"/>
        <w:rPr>
          <w:rFonts w:hint="eastAsia" w:ascii="宋体" w:hAnsi="宋体" w:eastAsia="宋体" w:cs="宋体"/>
          <w:color w:val="000000" w:themeColor="text1"/>
          <w:highlight w:val="none"/>
          <w14:textFill>
            <w14:solidFill>
              <w14:schemeClr w14:val="tx1"/>
            </w14:solidFill>
          </w14:textFill>
        </w:rPr>
      </w:pPr>
    </w:p>
    <w:p w14:paraId="56A60BD4">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3456C31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CFBB20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7C76D47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p>
    <w:bookmarkEnd w:id="160"/>
    <w:p w14:paraId="7575D091">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16005C70">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32FB2711">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2C276BE9">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5308D42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29249F7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7DF66E6B">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104F6C81">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36405E83">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26F46B2E">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70E2322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16316C67">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48422E50">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73855F20">
      <w:pPr>
        <w:rPr>
          <w:rFonts w:hint="eastAsia" w:ascii="宋体" w:hAnsi="宋体" w:eastAsia="宋体" w:cs="宋体"/>
          <w:color w:val="000000" w:themeColor="text1"/>
          <w:sz w:val="28"/>
          <w:szCs w:val="28"/>
          <w:highlight w:val="none"/>
          <w14:textFill>
            <w14:solidFill>
              <w14:schemeClr w14:val="tx1"/>
            </w14:solidFill>
          </w14:textFill>
        </w:rPr>
      </w:pPr>
    </w:p>
    <w:p w14:paraId="039904EE">
      <w:pPr>
        <w:rPr>
          <w:rFonts w:hint="eastAsia" w:ascii="宋体" w:hAnsi="宋体" w:eastAsia="宋体" w:cs="宋体"/>
          <w:color w:val="000000" w:themeColor="text1"/>
          <w:sz w:val="28"/>
          <w:szCs w:val="28"/>
          <w:highlight w:val="none"/>
          <w14:textFill>
            <w14:solidFill>
              <w14:schemeClr w14:val="tx1"/>
            </w14:solidFill>
          </w14:textFill>
        </w:rPr>
      </w:pPr>
    </w:p>
    <w:p w14:paraId="70539048">
      <w:pPr>
        <w:rPr>
          <w:rFonts w:hint="eastAsia" w:ascii="宋体" w:hAnsi="宋体" w:eastAsia="宋体" w:cs="宋体"/>
          <w:color w:val="000000" w:themeColor="text1"/>
          <w:sz w:val="28"/>
          <w:szCs w:val="28"/>
          <w:highlight w:val="none"/>
          <w14:textFill>
            <w14:solidFill>
              <w14:schemeClr w14:val="tx1"/>
            </w14:solidFill>
          </w14:textFill>
        </w:rPr>
      </w:pPr>
    </w:p>
    <w:p w14:paraId="3741F6E6">
      <w:pPr>
        <w:rPr>
          <w:rFonts w:hint="eastAsia" w:ascii="宋体" w:hAnsi="宋体" w:eastAsia="宋体" w:cs="宋体"/>
          <w:color w:val="000000" w:themeColor="text1"/>
          <w:sz w:val="28"/>
          <w:szCs w:val="28"/>
          <w:highlight w:val="none"/>
          <w14:textFill>
            <w14:solidFill>
              <w14:schemeClr w14:val="tx1"/>
            </w14:solidFill>
          </w14:textFill>
        </w:rPr>
      </w:pPr>
    </w:p>
    <w:p w14:paraId="4EC85FA3">
      <w:pPr>
        <w:rPr>
          <w:rFonts w:hint="eastAsia" w:ascii="宋体" w:hAnsi="宋体" w:eastAsia="宋体" w:cs="宋体"/>
          <w:color w:val="000000" w:themeColor="text1"/>
          <w:sz w:val="28"/>
          <w:szCs w:val="28"/>
          <w:highlight w:val="none"/>
          <w14:textFill>
            <w14:solidFill>
              <w14:schemeClr w14:val="tx1"/>
            </w14:solidFill>
          </w14:textFill>
        </w:rPr>
      </w:pPr>
    </w:p>
    <w:p w14:paraId="5587BAE9">
      <w:pPr>
        <w:rPr>
          <w:rFonts w:hint="eastAsia" w:ascii="宋体" w:hAnsi="宋体" w:eastAsia="宋体" w:cs="宋体"/>
          <w:color w:val="000000" w:themeColor="text1"/>
          <w:sz w:val="28"/>
          <w:szCs w:val="28"/>
          <w:highlight w:val="none"/>
          <w14:textFill>
            <w14:solidFill>
              <w14:schemeClr w14:val="tx1"/>
            </w14:solidFill>
          </w14:textFill>
        </w:rPr>
      </w:pPr>
    </w:p>
    <w:p w14:paraId="759BFD62">
      <w:pPr>
        <w:rPr>
          <w:rFonts w:hint="eastAsia" w:ascii="宋体" w:hAnsi="宋体" w:eastAsia="宋体" w:cs="宋体"/>
          <w:color w:val="000000" w:themeColor="text1"/>
          <w:sz w:val="28"/>
          <w:szCs w:val="28"/>
          <w:highlight w:val="none"/>
          <w14:textFill>
            <w14:solidFill>
              <w14:schemeClr w14:val="tx1"/>
            </w14:solidFill>
          </w14:textFill>
        </w:rPr>
      </w:pPr>
    </w:p>
    <w:p w14:paraId="47DEB015">
      <w:pPr>
        <w:rPr>
          <w:rFonts w:hint="eastAsia" w:ascii="宋体" w:hAnsi="宋体" w:eastAsia="宋体" w:cs="宋体"/>
          <w:color w:val="000000" w:themeColor="text1"/>
          <w:sz w:val="28"/>
          <w:szCs w:val="28"/>
          <w:highlight w:val="none"/>
          <w14:textFill>
            <w14:solidFill>
              <w14:schemeClr w14:val="tx1"/>
            </w14:solidFill>
          </w14:textFill>
        </w:rPr>
      </w:pPr>
    </w:p>
    <w:p w14:paraId="72E2D480">
      <w:pPr>
        <w:rPr>
          <w:rFonts w:hint="eastAsia" w:ascii="宋体" w:hAnsi="宋体" w:eastAsia="宋体" w:cs="宋体"/>
          <w:color w:val="000000" w:themeColor="text1"/>
          <w:sz w:val="28"/>
          <w:szCs w:val="28"/>
          <w:highlight w:val="none"/>
          <w14:textFill>
            <w14:solidFill>
              <w14:schemeClr w14:val="tx1"/>
            </w14:solidFill>
          </w14:textFill>
        </w:rPr>
      </w:pPr>
    </w:p>
    <w:p w14:paraId="7F5EBD28">
      <w:pPr>
        <w:rPr>
          <w:rFonts w:hint="eastAsia" w:ascii="宋体" w:hAnsi="宋体" w:eastAsia="宋体" w:cs="宋体"/>
          <w:color w:val="000000" w:themeColor="text1"/>
          <w:sz w:val="28"/>
          <w:szCs w:val="28"/>
          <w:highlight w:val="none"/>
          <w14:textFill>
            <w14:solidFill>
              <w14:schemeClr w14:val="tx1"/>
            </w14:solidFill>
          </w14:textFill>
        </w:rPr>
      </w:pPr>
    </w:p>
    <w:p w14:paraId="1DA7BE38">
      <w:pPr>
        <w:rPr>
          <w:rFonts w:hint="eastAsia" w:ascii="宋体" w:hAnsi="宋体" w:eastAsia="宋体" w:cs="宋体"/>
          <w:color w:val="000000" w:themeColor="text1"/>
          <w:sz w:val="28"/>
          <w:szCs w:val="28"/>
          <w:highlight w:val="none"/>
          <w14:textFill>
            <w14:solidFill>
              <w14:schemeClr w14:val="tx1"/>
            </w14:solidFill>
          </w14:textFill>
        </w:rPr>
      </w:pPr>
    </w:p>
    <w:p w14:paraId="5A76AF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05F525E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6BBA54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1A345E3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176C2F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寺家庄煤业井下瓦斯抽采钻孔、通风设施、抽放管路及回风整巷工程</w:t>
      </w:r>
    </w:p>
    <w:p w14:paraId="18E62E1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705B66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6D9CF8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AC1DF5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1、寺家庄煤业井下瓦斯抽采钻孔、通风设施、抽放管路及回风整巷工程。</w:t>
      </w:r>
    </w:p>
    <w:p w14:paraId="05C9397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范围：15122进风底抽巷、15316工作面底抽巷等井下巷道定向钻孔工程施工。</w:t>
      </w:r>
    </w:p>
    <w:p w14:paraId="519628D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0C90CE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345天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18ADFD7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千米钻机钻孔100米以下（不包含封孔、并网）φ98mm钻孔单价183元/米（不含税）；②千米钻机钻孔100-200米以下（不包含封孔、并网）φ98mm钻孔单价219元/米（不含税）；③千米钻机钻孔200-300米以下（不包含封孔、并网）φ98mm钻孔单价245元/米（不含税）；④千米钻机钻孔300m以上（不包含封孔、并网）φ98mm钻孔单价620元/米（不含税）。</w:t>
      </w:r>
    </w:p>
    <w:p w14:paraId="3E26609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7A20C80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2026年1月21日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1A89A8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4A6032BE">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3DCA475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18334509346</w:t>
      </w:r>
      <w:r>
        <w:rPr>
          <w:rFonts w:hint="eastAsia" w:ascii="宋体" w:hAnsi="宋体" w:eastAsia="宋体" w:cs="宋体"/>
          <w:color w:val="000000" w:themeColor="text1"/>
          <w:sz w:val="24"/>
          <w:szCs w:val="24"/>
          <w:highlight w:val="none"/>
          <w14:textFill>
            <w14:solidFill>
              <w14:schemeClr w14:val="tx1"/>
            </w14:solidFill>
          </w14:textFill>
        </w:rPr>
        <w:t>。</w:t>
      </w:r>
    </w:p>
    <w:p w14:paraId="3E98E8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088583F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15DD116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319EAEF6">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2026年1月19日</w:t>
      </w:r>
    </w:p>
    <w:p w14:paraId="6461427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681A896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36B55E4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1889BF4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C60C29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千米钻机</w:t>
      </w:r>
      <w:r>
        <w:rPr>
          <w:rFonts w:hint="eastAsia" w:ascii="宋体" w:hAnsi="宋体" w:cs="宋体"/>
          <w:color w:val="auto"/>
          <w:sz w:val="24"/>
          <w:szCs w:val="24"/>
          <w:highlight w:val="none"/>
          <w:u w:val="single"/>
          <w:lang w:eastAsia="zh-CN"/>
        </w:rPr>
        <w:t>钻孔工程结算方式为：验收进尺×钻孔单价，钻孔单价（不含税）按照双方谈判完成的价格计取；</w:t>
      </w:r>
    </w:p>
    <w:p w14:paraId="16CE380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）、税金及附加税费按山西省住房和城乡建设厅晋建标函〔2016〕383号通知的税金税率执行；</w:t>
      </w:r>
    </w:p>
    <w:p w14:paraId="598FACB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）、分包人应负责向承包人开具3%的增值税普通发票，在合同履行期间，如遇国家的税率调整，则价税合计的价格应相应调整，以发票开具的时间为准；</w:t>
      </w:r>
    </w:p>
    <w:p w14:paraId="5D53CDB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29C75A5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7D8DFBA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45CEF67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600DBC7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825372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DA38B9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1F2FC1F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B7EB86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7043F76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15D99E1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37091F8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1EC72C6B">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6FDDBB5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4C521E84">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5961C937">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13DAC8A7">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5EA5FE2">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337DAB1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0CA8B249">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7F023A4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13E628D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2CBA91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0D4705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5EEF272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4B5E14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C0CB97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70A1762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7501BF9">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02796"/>
      <w:bookmarkStart w:id="1" w:name="_Toc389663453"/>
      <w:bookmarkStart w:id="2" w:name="_Toc384026351"/>
      <w:bookmarkStart w:id="3" w:name="_Toc383940877"/>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51203481"/>
      <w:bookmarkStart w:id="7" w:name="_Toc389586296"/>
      <w:bookmarkStart w:id="8" w:name="_Toc389663454"/>
      <w:bookmarkStart w:id="9" w:name="_Toc384137523"/>
      <w:bookmarkStart w:id="10" w:name="_Toc384026352"/>
      <w:bookmarkStart w:id="11" w:name="_Toc383940878"/>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5997933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F099EF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679B37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BF8C42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758A503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B79E7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C9C51C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DF8270B">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6BF65E8D">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6C9574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1A1CFE9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3816E93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237BE38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1B64C996">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63457"/>
      <w:bookmarkStart w:id="19" w:name="_Toc383940881"/>
      <w:bookmarkStart w:id="20" w:name="_Toc384026355"/>
      <w:bookmarkStart w:id="21" w:name="_Toc384137526"/>
      <w:bookmarkStart w:id="22" w:name="_Toc389602800"/>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194B4C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5BDF58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77C843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0956A05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063A213C">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36F0CBFC">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71BD1108">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145975">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E728A37">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1A51EE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009307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66645E40">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4E2E1C">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97BDE1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4026357"/>
      <w:bookmarkStart w:id="25" w:name="_Toc383940883"/>
      <w:bookmarkStart w:id="26" w:name="_Toc384137528"/>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BDAE7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56899F2A">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E224389">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0F9DAE5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76B3652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2E9AFE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040DED3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73C00C2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7C7D92F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0B991F5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333E50DE">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0118E3CA">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3697D8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75E5CBC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47B9942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4026358"/>
      <w:bookmarkStart w:id="30" w:name="_Toc389602803"/>
      <w:bookmarkStart w:id="31" w:name="_Toc383940884"/>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3BE144B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7D62EC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5AE5243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1409EA9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17076747">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3940993"/>
      <w:bookmarkStart w:id="35" w:name="_Toc389602889"/>
      <w:bookmarkStart w:id="36" w:name="_Toc389663546"/>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7F9E45C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19E60DAA">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43A98D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2040253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1F578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1E3F3CA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5EB9B50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38F91FA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510104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9861EAA">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5A0BB2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017985F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DFC190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A6F3C6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D1472A4">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B97A7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ABEFAAC">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F31248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9D2BB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0F005C2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046A445">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41B0394">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18DE1834">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235D3F19">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0F5C855">
      <w:pPr>
        <w:pStyle w:val="14"/>
        <w:rPr>
          <w:rFonts w:hint="eastAsia" w:ascii="宋体" w:hAnsi="宋体" w:eastAsia="宋体" w:cs="宋体"/>
          <w:color w:val="000000" w:themeColor="text1"/>
          <w:highlight w:val="none"/>
          <w14:textFill>
            <w14:solidFill>
              <w14:schemeClr w14:val="tx1"/>
            </w14:solidFill>
          </w14:textFill>
        </w:rPr>
      </w:pPr>
    </w:p>
    <w:p w14:paraId="61E0DAFC">
      <w:pPr>
        <w:pStyle w:val="14"/>
        <w:rPr>
          <w:rFonts w:hint="eastAsia" w:ascii="宋体" w:hAnsi="宋体" w:eastAsia="宋体" w:cs="宋体"/>
          <w:color w:val="000000" w:themeColor="text1"/>
          <w:highlight w:val="none"/>
          <w14:textFill>
            <w14:solidFill>
              <w14:schemeClr w14:val="tx1"/>
            </w14:solidFill>
          </w14:textFill>
        </w:rPr>
      </w:pPr>
    </w:p>
    <w:p w14:paraId="02FD973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13907A5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0B54C9F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0643F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5A8154E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811B3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318A5F7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6350D8D">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C835A1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054DBBC1">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DE7E0D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1444581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66762FC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DA328E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2624F1D">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8F35706">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642545">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5CCBB023">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26CECD3F">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640A64C5">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3940995"/>
      <w:bookmarkStart w:id="39" w:name="_Toc389602891"/>
      <w:bookmarkStart w:id="40" w:name="_Toc384054024"/>
      <w:bookmarkStart w:id="41" w:name="_Toc389663548"/>
      <w:bookmarkStart w:id="42" w:name="_Toc384026469"/>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4899F464">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5E323565">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6D1085BA">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0EB1C13F">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34E2671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B601D2">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4A29ABE2">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7130CEA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37D33CD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58966C3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07D2966A">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EB29F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84DBCF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39C0B9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71001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27EEA89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D68C0F0">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054025"/>
      <w:bookmarkStart w:id="56" w:name="_Toc384137618"/>
      <w:bookmarkStart w:id="57" w:name="_Toc383940996"/>
      <w:bookmarkStart w:id="58" w:name="_Toc384026470"/>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28AD115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47104984">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6B71530">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36A7DD6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2D91464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554EE262">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297E9947">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380C790A">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2C2A728">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2B09F35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712855C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0823CE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2134C13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7D14805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9602900"/>
      <w:bookmarkStart w:id="66" w:name="_Toc384026471"/>
      <w:bookmarkStart w:id="67" w:name="_Toc389663557"/>
      <w:bookmarkStart w:id="68" w:name="_Toc384054026"/>
      <w:bookmarkStart w:id="69" w:name="_Toc384137619"/>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2645758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336C9DE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C5189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79D26E0F">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4278D0F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7DD30640">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AC2931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7D2C63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96777A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D0DCFF">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6C1D04A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03D087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41F6B4F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13BB8EC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1CA330B4">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79A584F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5B9775A">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4E1A660F">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6E97834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2B7651F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6E55D4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E6D7D5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403ED51D">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627021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AEC2D8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3FD0C78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2254FA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7BFEAE0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575B049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182C9C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3940999"/>
      <w:bookmarkStart w:id="83" w:name="_Toc384054028"/>
      <w:bookmarkStart w:id="84" w:name="_Toc389663565"/>
      <w:bookmarkStart w:id="85" w:name="_Toc384137621"/>
      <w:bookmarkStart w:id="86" w:name="_Toc384026473"/>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51DBB60A">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1F152EDA">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75193E6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6C41B3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24E5743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6EFAD2D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19F69FF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2CFC90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3CADD94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7A7F17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0EBB66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474323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E05BA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46DBF91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51B4A59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0A80CA5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9663570"/>
      <w:bookmarkStart w:id="101" w:name="_Toc384054029"/>
      <w:bookmarkStart w:id="102" w:name="_Toc383941000"/>
      <w:bookmarkStart w:id="103" w:name="_Toc389602913"/>
      <w:bookmarkStart w:id="104" w:name="_Toc384137622"/>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77FE88F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630C4E3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0F8072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4AA861E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79E7FA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137625"/>
      <w:bookmarkStart w:id="112" w:name="_Toc384054032"/>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4748606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01F552E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634EF9EC">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3D15F012">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7491BFD0">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2BEA042">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CB76D3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A6BA70B">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2CA4B6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148739E1">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14EFC997">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6EE4F2AE">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20B287F7">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6862952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7CAA51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D68311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C7584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227ABA0C">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7CAE7C6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C47E707">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2DF1956C">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6861AD9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D43A6AF">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026478"/>
      <w:bookmarkStart w:id="119" w:name="_Toc384137626"/>
      <w:bookmarkStart w:id="120" w:name="_Toc389602929"/>
      <w:bookmarkStart w:id="121" w:name="_Toc389663585"/>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B4D90F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443C7F9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358BC63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2EF4C26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2FF1731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6C78B34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3BBFA5C2">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627885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9154A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50D98E6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6E34260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76731F2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692A9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2C44990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9663589"/>
      <w:bookmarkStart w:id="125" w:name="_Toc384054034"/>
      <w:bookmarkStart w:id="126" w:name="_Toc384137627"/>
      <w:bookmarkStart w:id="127" w:name="_Toc383941005"/>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0B804C1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10773EE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6753A15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4FA928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6528F71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1537116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00AD47A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137628"/>
      <w:bookmarkStart w:id="133" w:name="_Toc389602935"/>
      <w:bookmarkStart w:id="134" w:name="_Toc389663592"/>
      <w:bookmarkStart w:id="135" w:name="_Toc384026480"/>
      <w:bookmarkStart w:id="136" w:name="_Toc383941006"/>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3C56734E">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797FB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115B66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59D68FA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14F4BA98">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3A01A4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0B692F6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2F684C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4ADE72D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1B19C7A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927AC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4AB682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31C0F23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9602939"/>
      <w:bookmarkStart w:id="142" w:name="_Toc384137629"/>
      <w:bookmarkStart w:id="143" w:name="_Toc384026481"/>
      <w:bookmarkStart w:id="144" w:name="_Toc384054036"/>
      <w:bookmarkStart w:id="145" w:name="_Toc383941007"/>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46BC2E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4392C75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5878D3E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418E5C9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2CE4564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41A7A6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6CB367D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73D69AB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660F29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2A68888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D05332E">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3A3A221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EF5692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678C5E2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26484"/>
      <w:bookmarkStart w:id="152" w:name="_Toc389602947"/>
      <w:bookmarkStart w:id="153" w:name="_Toc384054039"/>
      <w:bookmarkStart w:id="154" w:name="_Toc389663606"/>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0E16FDD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225EAE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6F379D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0ABF135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4645DB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4481616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7AD70A4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0D03B39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25B14AA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532C045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55244590">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43B02DB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2278A0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132AEB0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69340E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3CFBD3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246277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7C05967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0A789E6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6C837AC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076B5A8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9603627">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2096225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7EDE65D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3C562F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0ED5E1D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4938CA1A">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0852961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3352DB3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2A25404D">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38CD0D0">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494E7D59">
      <w:pPr>
        <w:pStyle w:val="14"/>
        <w:rPr>
          <w:rFonts w:hint="eastAsia" w:ascii="宋体" w:hAnsi="宋体" w:eastAsia="宋体" w:cs="宋体"/>
          <w:color w:val="000000" w:themeColor="text1"/>
          <w:highlight w:val="none"/>
          <w14:textFill>
            <w14:solidFill>
              <w14:schemeClr w14:val="tx1"/>
            </w14:solidFill>
          </w14:textFill>
        </w:rPr>
      </w:pPr>
    </w:p>
    <w:p w14:paraId="4FAE2B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187C4B4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6479B83">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78574957">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3A865509">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3B50BE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574FF37A">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AB8075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1BF77DA">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63F2DF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19CE8399">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1D9C1BF9">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64B277DE">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64CCA32">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3EB6CE50">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50563283">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7ACB84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2CD4A30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202C3E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4F366CE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25F40E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4F27338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03E43F6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811435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2538CA4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1F97EF5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2A17799E">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3AFEBC7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5B9DC3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A6E42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4B7D131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617EA63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145C4A1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6CFEF11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031C3DF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4362D17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0C341FC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1AC7ABB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15569EA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2650A6D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7AD267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5E2AB64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2B36D07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7CDBB7F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A9A60B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0BD8523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13A96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1026616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18766DC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25647F4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4882BBE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674466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7CD30E0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782247C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05BF099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45BC426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2D21EC6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47141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2CE1BF2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299FC39B">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7B686642">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03C5B5DC">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6ECEF992">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7803361C">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3E2C900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7BD04D3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3E7C76B2">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7B8C9E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3209E6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4DA766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7A41A8A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2F3AD5A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2A1CDDA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4CCF7F1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0336F5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CA5FF9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3DF74EE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5FFF078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05DFA50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D4192A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78FE297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F95E3A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47A347A0">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2D12A11C">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4DECB07">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85F3EFC">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2DACF95A">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EFB39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3A91E08E">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432F147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FAE0CA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492DAC">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9F34C6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45437738">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4F86AA94">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14D71E2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79DFD2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27ABA40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87A706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68B7BE3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59102098">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317E295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5A62366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433A47F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5C3F04A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764AD27D">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5C436818">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3A6E0DB2">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1DA81044">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271DF2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D90F050">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5D636CF5">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0D714244">
      <w:pPr>
        <w:pStyle w:val="15"/>
        <w:rPr>
          <w:rFonts w:hint="eastAsia" w:ascii="宋体" w:hAnsi="宋体" w:eastAsia="宋体" w:cs="宋体"/>
          <w:color w:val="000000" w:themeColor="text1"/>
          <w:sz w:val="24"/>
          <w:szCs w:val="24"/>
          <w:highlight w:val="none"/>
          <w14:textFill>
            <w14:solidFill>
              <w14:schemeClr w14:val="tx1"/>
            </w14:solidFill>
          </w14:textFill>
        </w:rPr>
      </w:pPr>
    </w:p>
    <w:p w14:paraId="18DF3BA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2E34419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7EC1E9D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2F1E9294">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63D43119">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E1A9248">
      <w:pPr>
        <w:pStyle w:val="22"/>
        <w:rPr>
          <w:rFonts w:hint="eastAsia" w:ascii="宋体" w:hAnsi="宋体" w:eastAsia="宋体" w:cs="宋体"/>
          <w:color w:val="000000" w:themeColor="text1"/>
          <w:highlight w:val="none"/>
          <w14:textFill>
            <w14:solidFill>
              <w14:schemeClr w14:val="tx1"/>
            </w14:solidFill>
          </w14:textFill>
        </w:rPr>
      </w:pPr>
    </w:p>
    <w:p w14:paraId="07D939DB">
      <w:pPr>
        <w:pStyle w:val="22"/>
        <w:rPr>
          <w:rFonts w:hint="eastAsia" w:ascii="宋体" w:hAnsi="宋体" w:eastAsia="宋体" w:cs="宋体"/>
          <w:color w:val="000000" w:themeColor="text1"/>
          <w:highlight w:val="none"/>
          <w14:textFill>
            <w14:solidFill>
              <w14:schemeClr w14:val="tx1"/>
            </w14:solidFill>
          </w14:textFill>
        </w:rPr>
      </w:pPr>
    </w:p>
    <w:p w14:paraId="6980C95C">
      <w:pPr>
        <w:pStyle w:val="22"/>
        <w:rPr>
          <w:rFonts w:hint="eastAsia" w:ascii="宋体" w:hAnsi="宋体" w:eastAsia="宋体" w:cs="宋体"/>
          <w:color w:val="000000" w:themeColor="text1"/>
          <w:highlight w:val="none"/>
          <w14:textFill>
            <w14:solidFill>
              <w14:schemeClr w14:val="tx1"/>
            </w14:solidFill>
          </w14:textFill>
        </w:rPr>
      </w:pPr>
    </w:p>
    <w:p w14:paraId="6A7F2AB9">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366459E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61528282">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F7AFA7D">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FC0698E">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3F0839F">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2C43F27">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4FA8800">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1B24C582">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D071C0F">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39E3B38">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462FECE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00A4F0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7113D2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165B83B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E3DF8E4">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522A6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3F3D42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3EABACB">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38EF9E7">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2DD7F9BF">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D89EE7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B7E2992">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D69453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1B8D3CF">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8350B64">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0D4C838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4CE246C">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4803F0F">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0794492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A666F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E491D68">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360591C4">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09A38956">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32544787">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101C877D">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1CCED971">
      <w:pPr>
        <w:pStyle w:val="7"/>
        <w:rPr>
          <w:rFonts w:hint="eastAsia"/>
          <w:color w:val="000000" w:themeColor="text1"/>
          <w:highlight w:val="none"/>
          <w14:textFill>
            <w14:solidFill>
              <w14:schemeClr w14:val="tx1"/>
            </w14:solidFill>
          </w14:textFill>
        </w:rPr>
      </w:pPr>
    </w:p>
    <w:p w14:paraId="3F591E30">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BFDC81A">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寺家庄煤业井下瓦斯抽采钻孔、通风设施、抽放管路及回风整巷工程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2613C68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74D6DBD6">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121</w:t>
      </w:r>
    </w:p>
    <w:p w14:paraId="2F348B3F">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97A42D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22E7E0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7B95470">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2373797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B3CA345">
      <w:pPr>
        <w:rPr>
          <w:rFonts w:hint="eastAsia" w:ascii="宋体" w:hAnsi="宋体" w:eastAsia="宋体" w:cs="宋体"/>
          <w:b/>
          <w:bCs/>
          <w:color w:val="000000" w:themeColor="text1"/>
          <w:sz w:val="44"/>
          <w:szCs w:val="44"/>
          <w:highlight w:val="none"/>
          <w14:textFill>
            <w14:solidFill>
              <w14:schemeClr w14:val="tx1"/>
            </w14:solidFill>
          </w14:textFill>
        </w:rPr>
      </w:pPr>
    </w:p>
    <w:p w14:paraId="0195327D">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2B9012B6">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132E58D2">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89104A1">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33D2CAE0">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369E4A5E">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6BB7D272">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54FBDCE0">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3536ADC">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44FB8394">
      <w:pPr>
        <w:rPr>
          <w:rFonts w:hint="eastAsia" w:ascii="宋体" w:hAnsi="宋体" w:eastAsia="宋体" w:cs="宋体"/>
          <w:color w:val="000000" w:themeColor="text1"/>
          <w:sz w:val="28"/>
          <w:szCs w:val="28"/>
          <w:highlight w:val="none"/>
          <w14:textFill>
            <w14:solidFill>
              <w14:schemeClr w14:val="tx1"/>
            </w14:solidFill>
          </w14:textFill>
        </w:rPr>
      </w:pPr>
    </w:p>
    <w:p w14:paraId="0073C82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0F619B3D">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14FAD748">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04832E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1AA6BC19">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40726D7A">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1F800A1E">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2A970E3D">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6E4333E">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02C1A6D0">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19923D">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0286F077">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239A49A5">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65CFE9E9">
      <w:pPr>
        <w:rPr>
          <w:rFonts w:hint="eastAsia" w:ascii="宋体" w:hAnsi="宋体" w:cs="宋体"/>
          <w:color w:val="000000" w:themeColor="text1"/>
          <w:sz w:val="28"/>
          <w:szCs w:val="28"/>
          <w:highlight w:val="none"/>
          <w:lang w:eastAsia="zh-CN"/>
          <w14:textFill>
            <w14:solidFill>
              <w14:schemeClr w14:val="tx1"/>
            </w14:solidFill>
          </w14:textFill>
        </w:rPr>
      </w:pPr>
    </w:p>
    <w:p w14:paraId="011A9347">
      <w:pPr>
        <w:rPr>
          <w:rFonts w:hint="eastAsia" w:ascii="宋体" w:hAnsi="宋体" w:eastAsia="宋体" w:cs="宋体"/>
          <w:color w:val="000000" w:themeColor="text1"/>
          <w:sz w:val="28"/>
          <w:szCs w:val="28"/>
          <w:highlight w:val="none"/>
          <w14:textFill>
            <w14:solidFill>
              <w14:schemeClr w14:val="tx1"/>
            </w14:solidFill>
          </w14:textFill>
        </w:rPr>
      </w:pPr>
    </w:p>
    <w:p w14:paraId="540AD186">
      <w:pPr>
        <w:rPr>
          <w:rFonts w:hint="eastAsia" w:ascii="宋体" w:hAnsi="宋体" w:eastAsia="宋体" w:cs="宋体"/>
          <w:color w:val="000000" w:themeColor="text1"/>
          <w:sz w:val="28"/>
          <w:szCs w:val="28"/>
          <w:highlight w:val="none"/>
          <w14:textFill>
            <w14:solidFill>
              <w14:schemeClr w14:val="tx1"/>
            </w14:solidFill>
          </w14:textFill>
        </w:rPr>
      </w:pPr>
    </w:p>
    <w:p w14:paraId="7B6D76D3">
      <w:pPr>
        <w:rPr>
          <w:rFonts w:hint="eastAsia" w:ascii="宋体" w:hAnsi="宋体" w:eastAsia="宋体" w:cs="宋体"/>
          <w:color w:val="000000" w:themeColor="text1"/>
          <w:sz w:val="28"/>
          <w:szCs w:val="28"/>
          <w:highlight w:val="none"/>
          <w14:textFill>
            <w14:solidFill>
              <w14:schemeClr w14:val="tx1"/>
            </w14:solidFill>
          </w14:textFill>
        </w:rPr>
      </w:pPr>
    </w:p>
    <w:p w14:paraId="7FCC451D">
      <w:pPr>
        <w:rPr>
          <w:rFonts w:hint="eastAsia" w:ascii="宋体" w:hAnsi="宋体" w:eastAsia="宋体" w:cs="宋体"/>
          <w:color w:val="000000" w:themeColor="text1"/>
          <w:sz w:val="28"/>
          <w:szCs w:val="28"/>
          <w:highlight w:val="none"/>
          <w14:textFill>
            <w14:solidFill>
              <w14:schemeClr w14:val="tx1"/>
            </w14:solidFill>
          </w14:textFill>
        </w:rPr>
      </w:pPr>
    </w:p>
    <w:p w14:paraId="024AEF41">
      <w:pPr>
        <w:rPr>
          <w:rFonts w:hint="eastAsia" w:ascii="宋体" w:hAnsi="宋体" w:eastAsia="宋体" w:cs="宋体"/>
          <w:color w:val="000000" w:themeColor="text1"/>
          <w:sz w:val="28"/>
          <w:szCs w:val="28"/>
          <w:highlight w:val="none"/>
          <w14:textFill>
            <w14:solidFill>
              <w14:schemeClr w14:val="tx1"/>
            </w14:solidFill>
          </w14:textFill>
        </w:rPr>
      </w:pPr>
    </w:p>
    <w:p w14:paraId="29CD4BA2">
      <w:pPr>
        <w:rPr>
          <w:rFonts w:hint="eastAsia" w:ascii="宋体" w:hAnsi="宋体" w:eastAsia="宋体" w:cs="宋体"/>
          <w:color w:val="000000" w:themeColor="text1"/>
          <w:sz w:val="28"/>
          <w:szCs w:val="28"/>
          <w:highlight w:val="none"/>
          <w14:textFill>
            <w14:solidFill>
              <w14:schemeClr w14:val="tx1"/>
            </w14:solidFill>
          </w14:textFill>
        </w:rPr>
      </w:pPr>
    </w:p>
    <w:p w14:paraId="6EF26647">
      <w:pPr>
        <w:rPr>
          <w:rFonts w:hint="eastAsia" w:ascii="宋体" w:hAnsi="宋体" w:eastAsia="宋体" w:cs="宋体"/>
          <w:color w:val="000000" w:themeColor="text1"/>
          <w:sz w:val="28"/>
          <w:szCs w:val="28"/>
          <w:highlight w:val="none"/>
          <w14:textFill>
            <w14:solidFill>
              <w14:schemeClr w14:val="tx1"/>
            </w14:solidFill>
          </w14:textFill>
        </w:rPr>
      </w:pPr>
    </w:p>
    <w:p w14:paraId="151521E0">
      <w:pPr>
        <w:rPr>
          <w:rFonts w:hint="eastAsia" w:ascii="宋体" w:hAnsi="宋体" w:eastAsia="宋体" w:cs="宋体"/>
          <w:color w:val="000000" w:themeColor="text1"/>
          <w:sz w:val="28"/>
          <w:szCs w:val="28"/>
          <w:highlight w:val="none"/>
          <w14:textFill>
            <w14:solidFill>
              <w14:schemeClr w14:val="tx1"/>
            </w14:solidFill>
          </w14:textFill>
        </w:rPr>
      </w:pPr>
    </w:p>
    <w:p w14:paraId="55CF63E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616FF20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0EC105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经研究，我方决定参加寺家庄煤业井下瓦斯抽采钻孔、通风设施、抽放管路及回风整巷工程施工的谈判活动并提交报价文件，为此，我方郑重声明以下诸点，并负法律责任。</w:t>
      </w:r>
    </w:p>
    <w:p w14:paraId="20082B7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44755F8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41A773B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6399009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26F20E8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30D6432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32CF214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257262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0F98E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25B9B9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5FD0E1D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2D5949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3BEB289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2E31F1B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2BFA0B6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61EEC86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71E7B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531DF9C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0F18E8D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7E1B246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p>
    <w:p w14:paraId="59E4E68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38212538">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E7D3B93">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1237806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0BEB696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38A29F00">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C1573D4">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34933B6D">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D818FE5">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1C4E26AD">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6E30F4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2026年1月20日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7E498F9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29F77652">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3D752AD9">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08D77F73">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p>
    <w:p w14:paraId="2CCEC72A">
      <w:pPr>
        <w:jc w:val="right"/>
        <w:rPr>
          <w:rFonts w:hint="eastAsia" w:ascii="宋体" w:hAnsi="宋体" w:eastAsia="宋体" w:cs="宋体"/>
          <w:color w:val="000000" w:themeColor="text1"/>
          <w:sz w:val="28"/>
          <w:szCs w:val="28"/>
          <w:highlight w:val="none"/>
          <w14:textFill>
            <w14:solidFill>
              <w14:schemeClr w14:val="tx1"/>
            </w14:solidFill>
          </w14:textFill>
        </w:rPr>
      </w:pPr>
    </w:p>
    <w:p w14:paraId="7991C864">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446ADC67">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0C7728D">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716BB21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3CA2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2764983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479CDD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47C77825">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1E3B74B3">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48353ED1">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46D616F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0A05D3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4E9AD924">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20D5A12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5435907F">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6450DFA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0B19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9C2E1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374D05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1F073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A7C12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046072C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41AD8AA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CBF0C8B">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343B86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C521C23">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29F17B5">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A3D314E">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47E3EB30">
      <w:pPr>
        <w:rPr>
          <w:color w:val="000000" w:themeColor="text1"/>
          <w:highlight w:val="none"/>
          <w14:textFill>
            <w14:solidFill>
              <w14:schemeClr w14:val="tx1"/>
            </w14:solidFill>
          </w14:textFill>
        </w:rPr>
      </w:pPr>
    </w:p>
    <w:p w14:paraId="60616280">
      <w:pPr>
        <w:rPr>
          <w:color w:val="000000" w:themeColor="text1"/>
          <w:highlight w:val="none"/>
          <w14:textFill>
            <w14:solidFill>
              <w14:schemeClr w14:val="tx1"/>
            </w14:solidFill>
          </w14:textFill>
        </w:rPr>
      </w:pPr>
    </w:p>
    <w:p w14:paraId="5A762FB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314E734F">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14:paraId="29A09E46">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项目名称：寺家庄煤业井下瓦斯抽采钻孔、通风设施、抽放管路及回风整巷工程</w:t>
      </w:r>
    </w:p>
    <w:p w14:paraId="6871F24F">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14:paraId="4906C51D">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2619"/>
        <w:gridCol w:w="2165"/>
        <w:gridCol w:w="2168"/>
      </w:tblGrid>
      <w:tr w14:paraId="21E6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noWrap w:val="0"/>
            <w:vAlign w:val="center"/>
          </w:tcPr>
          <w:p w14:paraId="1298B378">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14:paraId="0AB5B140">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6952" w:type="dxa"/>
            <w:gridSpan w:val="3"/>
            <w:noWrap w:val="0"/>
            <w:vAlign w:val="center"/>
          </w:tcPr>
          <w:p w14:paraId="0358D28E">
            <w:pPr>
              <w:spacing w:line="360" w:lineRule="auto"/>
              <w:jc w:val="both"/>
              <w:rPr>
                <w:rFonts w:hint="default" w:ascii="宋体" w:hAnsi="宋体" w:eastAsia="宋体" w:cs="宋体"/>
                <w:color w:val="auto"/>
                <w:sz w:val="20"/>
                <w:szCs w:val="20"/>
                <w:highlight w:val="none"/>
                <w:u w:val="none"/>
                <w:lang w:val="en-US" w:eastAsia="zh-CN"/>
              </w:rPr>
            </w:pPr>
            <w:r>
              <w:rPr>
                <w:rFonts w:hint="default" w:ascii="宋体" w:hAnsi="宋体" w:eastAsia="宋体" w:cs="宋体"/>
                <w:color w:val="auto"/>
                <w:sz w:val="20"/>
                <w:szCs w:val="18"/>
                <w:lang w:val="en-US" w:eastAsia="zh-CN"/>
              </w:rPr>
              <w:t>①千米钻机钻孔100米以下（不包含封孔、并网）φ98mm钻孔单价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元/米（不含税）；②千米钻机钻孔100-200米以下（不包含封孔、并网）φ98mm钻孔单价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元/米（不含税）；③千米钻机钻孔200-300米以下（不包含封孔、并网）φ98mm钻孔单价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元/米（不含税）；④千米钻机钻孔300m以上（不包含封孔、并网）φ98mm钻孔单价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w:t>
            </w:r>
          </w:p>
        </w:tc>
      </w:tr>
      <w:tr w14:paraId="4DFA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noWrap w:val="0"/>
            <w:vAlign w:val="center"/>
          </w:tcPr>
          <w:p w14:paraId="4091C01A">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6952" w:type="dxa"/>
            <w:gridSpan w:val="3"/>
            <w:noWrap w:val="0"/>
            <w:vAlign w:val="center"/>
          </w:tcPr>
          <w:p w14:paraId="0CA36EEA">
            <w:pPr>
              <w:spacing w:line="360" w:lineRule="auto"/>
              <w:jc w:val="both"/>
              <w:rPr>
                <w:rFonts w:hint="default" w:ascii="宋体" w:hAnsi="宋体" w:eastAsia="宋体" w:cs="宋体"/>
                <w:color w:val="auto"/>
                <w:sz w:val="20"/>
                <w:szCs w:val="18"/>
                <w:lang w:val="en-US" w:eastAsia="zh-CN"/>
              </w:rPr>
            </w:pPr>
            <w:r>
              <w:rPr>
                <w:rFonts w:hint="default" w:ascii="宋体" w:hAnsi="宋体" w:eastAsia="宋体" w:cs="宋体"/>
                <w:color w:val="auto"/>
                <w:sz w:val="20"/>
                <w:szCs w:val="18"/>
                <w:lang w:val="en-US" w:eastAsia="zh-CN"/>
              </w:rPr>
              <w:t>①千米钻机钻孔100米以下（不包含封孔、并网）φ98mm钻孔单价183元/米（不含税）；②千米钻机钻孔100-200米以下（不包含封孔、并网）φ98mm钻孔单价219元/米（不含税）；③千米钻机钻孔200-300米以下（不包含封孔、并网）φ98mm钻孔单价245元/米（不含税）；④千米钻机钻孔300m以上（不包含封孔、并网）φ98mm钻孔单价620元/米（不含税）。</w:t>
            </w:r>
          </w:p>
        </w:tc>
      </w:tr>
      <w:tr w14:paraId="2542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14:paraId="063BF8AC">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6952" w:type="dxa"/>
            <w:gridSpan w:val="3"/>
            <w:noWrap w:val="0"/>
            <w:vAlign w:val="top"/>
          </w:tcPr>
          <w:p w14:paraId="175A955B">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14:paraId="7E1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14:paraId="6F5115E2">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6952" w:type="dxa"/>
            <w:gridSpan w:val="3"/>
            <w:noWrap w:val="0"/>
            <w:vAlign w:val="center"/>
          </w:tcPr>
          <w:p w14:paraId="7F6CB665">
            <w:pPr>
              <w:rPr>
                <w:rFonts w:hint="eastAsia"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345天</w:t>
            </w:r>
          </w:p>
        </w:tc>
      </w:tr>
      <w:tr w14:paraId="7F3E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14:paraId="5417FA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项目经理</w:t>
            </w:r>
          </w:p>
          <w:p w14:paraId="20AA19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（建造师）</w:t>
            </w:r>
          </w:p>
        </w:tc>
        <w:tc>
          <w:tcPr>
            <w:tcW w:w="2619" w:type="dxa"/>
            <w:noWrap w:val="0"/>
            <w:vAlign w:val="center"/>
          </w:tcPr>
          <w:p w14:paraId="3B64513D">
            <w:pPr>
              <w:jc w:val="center"/>
              <w:rPr>
                <w:rFonts w:hint="eastAsia" w:ascii="宋体" w:hAnsi="宋体" w:eastAsia="宋体" w:cs="宋体"/>
                <w:color w:val="auto"/>
                <w:sz w:val="28"/>
                <w:szCs w:val="28"/>
                <w:lang w:eastAsia="zh-CN"/>
              </w:rPr>
            </w:pPr>
          </w:p>
        </w:tc>
        <w:tc>
          <w:tcPr>
            <w:tcW w:w="2165" w:type="dxa"/>
            <w:noWrap w:val="0"/>
            <w:vAlign w:val="center"/>
          </w:tcPr>
          <w:p w14:paraId="0B1BE166">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68" w:type="dxa"/>
            <w:noWrap w:val="0"/>
            <w:vAlign w:val="center"/>
          </w:tcPr>
          <w:p w14:paraId="388AF4E0">
            <w:pPr>
              <w:jc w:val="center"/>
              <w:rPr>
                <w:rFonts w:hint="eastAsia" w:ascii="宋体" w:hAnsi="宋体" w:eastAsia="宋体" w:cs="宋体"/>
                <w:color w:val="auto"/>
                <w:sz w:val="28"/>
                <w:szCs w:val="28"/>
                <w:lang w:val="en-US" w:eastAsia="zh-CN"/>
              </w:rPr>
            </w:pPr>
          </w:p>
        </w:tc>
      </w:tr>
      <w:tr w14:paraId="061D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noWrap w:val="0"/>
            <w:vAlign w:val="center"/>
          </w:tcPr>
          <w:p w14:paraId="42E6D0D6">
            <w:pPr>
              <w:jc w:val="center"/>
              <w:rPr>
                <w:rFonts w:hint="eastAsia" w:ascii="宋体" w:hAnsi="宋体" w:eastAsia="宋体" w:cs="宋体"/>
                <w:color w:val="auto"/>
                <w:sz w:val="28"/>
                <w:szCs w:val="28"/>
              </w:rPr>
            </w:pPr>
            <w:r>
              <w:rPr>
                <w:rFonts w:hint="eastAsia" w:ascii="宋体" w:hAnsi="宋体" w:eastAsia="宋体" w:cs="宋体"/>
                <w:color w:val="auto"/>
                <w:sz w:val="22"/>
                <w:szCs w:val="22"/>
              </w:rPr>
              <w:t>对谈判文件的认可程度</w:t>
            </w:r>
          </w:p>
        </w:tc>
        <w:tc>
          <w:tcPr>
            <w:tcW w:w="6952" w:type="dxa"/>
            <w:gridSpan w:val="3"/>
            <w:noWrap w:val="0"/>
            <w:vAlign w:val="center"/>
          </w:tcPr>
          <w:p w14:paraId="57F35DA1">
            <w:pPr>
              <w:jc w:val="center"/>
              <w:rPr>
                <w:rFonts w:hint="eastAsia" w:ascii="宋体" w:hAnsi="宋体" w:eastAsia="宋体" w:cs="宋体"/>
                <w:color w:val="auto"/>
                <w:sz w:val="28"/>
                <w:szCs w:val="28"/>
                <w:lang w:eastAsia="zh-CN"/>
              </w:rPr>
            </w:pPr>
          </w:p>
        </w:tc>
      </w:tr>
      <w:tr w14:paraId="7272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1707" w:type="dxa"/>
            <w:noWrap w:val="0"/>
            <w:vAlign w:val="center"/>
          </w:tcPr>
          <w:p w14:paraId="4353F9B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6952" w:type="dxa"/>
            <w:gridSpan w:val="3"/>
            <w:shd w:val="clear" w:color="auto" w:fill="auto"/>
            <w:noWrap w:val="0"/>
            <w:vAlign w:val="center"/>
          </w:tcPr>
          <w:p w14:paraId="0AEE471B">
            <w:pPr>
              <w:spacing w:line="240" w:lineRule="auto"/>
              <w:jc w:val="both"/>
              <w:rPr>
                <w:rFonts w:hint="default" w:ascii="宋体" w:hAnsi="宋体" w:eastAsia="宋体" w:cs="宋体"/>
                <w:color w:val="auto"/>
                <w:kern w:val="2"/>
                <w:sz w:val="20"/>
                <w:szCs w:val="20"/>
                <w:highlight w:val="none"/>
                <w:u w:val="none"/>
                <w:lang w:val="en-US" w:eastAsia="zh-CN" w:bidi="ar-SA"/>
              </w:rPr>
            </w:pPr>
            <w:r>
              <w:rPr>
                <w:rFonts w:hint="default" w:ascii="宋体" w:hAnsi="宋体" w:eastAsia="宋体" w:cs="宋体"/>
                <w:color w:val="auto"/>
                <w:sz w:val="20"/>
                <w:szCs w:val="18"/>
                <w:lang w:val="en-US" w:eastAsia="zh-CN"/>
              </w:rPr>
              <w:t>①千米钻机钻孔100米以下（不包含封孔、并网）φ98mm钻孔单价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元/米（不含税）；②千米钻机钻孔100-200米以下（不包含封孔、并网）φ98mm钻孔单价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元/米（不含税）；③千米钻机钻孔200-300米以下（不包含封孔、并网）φ98mm钻孔单价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元/米（不含税）；④千米钻机钻孔300m以上（不包含封孔、并网）φ98mm钻孔单价</w:t>
            </w:r>
            <w:r>
              <w:rPr>
                <w:rFonts w:hint="eastAsia" w:ascii="宋体" w:hAnsi="宋体" w:cs="宋体"/>
                <w:color w:val="auto"/>
                <w:sz w:val="20"/>
                <w:szCs w:val="18"/>
                <w:u w:val="single"/>
                <w:lang w:val="en-US" w:eastAsia="zh-CN"/>
              </w:rPr>
              <w:t xml:space="preserve">   </w:t>
            </w:r>
            <w:r>
              <w:rPr>
                <w:rFonts w:hint="default" w:ascii="宋体" w:hAnsi="宋体" w:eastAsia="宋体" w:cs="宋体"/>
                <w:color w:val="auto"/>
                <w:sz w:val="20"/>
                <w:szCs w:val="18"/>
                <w:lang w:val="en-US" w:eastAsia="zh-CN"/>
              </w:rPr>
              <w:t>元/米（不含税）。</w:t>
            </w:r>
          </w:p>
        </w:tc>
      </w:tr>
      <w:tr w14:paraId="2BE9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659" w:type="dxa"/>
            <w:gridSpan w:val="4"/>
            <w:noWrap w:val="0"/>
            <w:vAlign w:val="center"/>
          </w:tcPr>
          <w:p w14:paraId="0EED1EEB">
            <w:pP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此报价一览表内内容尽量充实</w:t>
            </w:r>
            <w:r>
              <w:rPr>
                <w:rFonts w:hint="eastAsia" w:ascii="宋体" w:hAnsi="宋体" w:eastAsia="宋体" w:cs="宋体"/>
                <w:color w:val="auto"/>
                <w:sz w:val="28"/>
                <w:szCs w:val="28"/>
                <w:lang w:eastAsia="zh-CN"/>
              </w:rPr>
              <w:t>。</w:t>
            </w:r>
          </w:p>
        </w:tc>
      </w:tr>
    </w:tbl>
    <w:p w14:paraId="0897C984">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1DED0950">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3E9B3D42">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我公司郑重承诺：本次办理寺家庄煤业井下瓦斯抽采钻孔、通风设施、抽放管路及回风整巷工程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794E94F3">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6A95ABE0">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1E0023A2">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198B55F5">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139DBCF0">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04E36E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BA98245">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7444C495">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81FFD0A">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p>
    <w:p w14:paraId="145C70D9">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20B190EC">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5E89A20">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07175A">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209052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2DD568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7B8D28C">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24ED8A12">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4B48EEB2">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5B22A8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（单位）的关于寺家庄煤业井下瓦斯抽采钻孔、通风设施、抽放管路及回风整巷工程（工程项目）的谈判文件（电子版），经仔细阅读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2026年1月20日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kern w:val="2"/>
          <w:sz w:val="28"/>
          <w:szCs w:val="28"/>
          <w:highlight w:val="none"/>
          <w:lang w:val="en-US" w:eastAsia="zh-CN" w:bidi="ar"/>
        </w:rPr>
        <w:t>寺家庄煤业井下瓦斯抽采钻孔、通风设施、抽放管路及回风整巷工程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60A525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26E6F5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C1554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6B540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E018D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7E2A0A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7EB8E7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63C2E4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77AED0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p>
    <w:p w14:paraId="0011964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2AF29E1">
      <w:pPr>
        <w:spacing w:line="560" w:lineRule="exact"/>
        <w:rPr>
          <w:rFonts w:hint="eastAsia" w:ascii="宋体" w:hAnsi="宋体" w:eastAsia="宋体" w:cs="宋体"/>
          <w:color w:val="000000" w:themeColor="text1"/>
          <w:sz w:val="28"/>
          <w:szCs w:val="28"/>
          <w14:textFill>
            <w14:solidFill>
              <w14:schemeClr w14:val="tx1"/>
            </w14:solidFill>
          </w14:textFill>
        </w:rPr>
      </w:pPr>
    </w:p>
    <w:p w14:paraId="3B899C41">
      <w:pPr>
        <w:spacing w:line="560" w:lineRule="exact"/>
        <w:rPr>
          <w:rFonts w:hint="eastAsia" w:ascii="宋体" w:hAnsi="宋体" w:eastAsia="宋体" w:cs="宋体"/>
          <w:color w:val="000000" w:themeColor="text1"/>
          <w:sz w:val="28"/>
          <w:szCs w:val="28"/>
          <w14:textFill>
            <w14:solidFill>
              <w14:schemeClr w14:val="tx1"/>
            </w14:solidFill>
          </w14:textFill>
        </w:rPr>
      </w:pPr>
    </w:p>
    <w:p w14:paraId="709321C4">
      <w:pPr>
        <w:spacing w:line="560" w:lineRule="exact"/>
        <w:rPr>
          <w:rFonts w:hint="eastAsia" w:ascii="宋体" w:hAnsi="宋体" w:eastAsia="宋体" w:cs="宋体"/>
          <w:color w:val="000000" w:themeColor="text1"/>
          <w:sz w:val="18"/>
          <w:szCs w:val="18"/>
          <w14:textFill>
            <w14:solidFill>
              <w14:schemeClr w14:val="tx1"/>
            </w14:solidFill>
          </w14:textFill>
        </w:rPr>
      </w:pPr>
    </w:p>
    <w:p w14:paraId="71D72AA3">
      <w:pPr>
        <w:spacing w:line="560" w:lineRule="exact"/>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Droid Sans Fallback">
    <w:altName w:val="宋体"/>
    <w:panose1 w:val="020B0502000000000001"/>
    <w:charset w:val="86"/>
    <w:family w:val="auto"/>
    <w:pitch w:val="default"/>
    <w:sig w:usb0="00000000" w:usb1="00000000" w:usb2="00000036" w:usb3="00000000" w:csb0="203F01FF" w:csb1="D7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512C0">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7158">
    <w:pPr>
      <w:pStyle w:val="11"/>
      <w:framePr w:wrap="around" w:vAnchor="text" w:hAnchor="margin" w:xAlign="center" w:y="1"/>
      <w:rPr>
        <w:rStyle w:val="19"/>
      </w:rPr>
    </w:pPr>
    <w:r>
      <w:fldChar w:fldCharType="begin"/>
    </w:r>
    <w:r>
      <w:rPr>
        <w:rStyle w:val="19"/>
      </w:rPr>
      <w:instrText xml:space="preserve">PAGE  </w:instrText>
    </w:r>
    <w:r>
      <w:fldChar w:fldCharType="end"/>
    </w:r>
  </w:p>
  <w:p w14:paraId="1244DC83">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C32CB">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2B3549">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202B3549">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0515D">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75E9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5F75E9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1A19A">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F4F9A">
    <w:pPr>
      <w:pStyle w:val="11"/>
      <w:framePr w:wrap="around" w:vAnchor="text" w:hAnchor="margin" w:xAlign="center" w:y="1"/>
      <w:rPr>
        <w:rStyle w:val="19"/>
      </w:rPr>
    </w:pPr>
    <w:r>
      <w:fldChar w:fldCharType="begin"/>
    </w:r>
    <w:r>
      <w:rPr>
        <w:rStyle w:val="19"/>
      </w:rPr>
      <w:instrText xml:space="preserve">PAGE  </w:instrText>
    </w:r>
    <w:r>
      <w:fldChar w:fldCharType="end"/>
    </w:r>
  </w:p>
  <w:p w14:paraId="030102CA">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A5A4D">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3FF6B24"/>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6DC56A"/>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CD7D70"/>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AF1B113"/>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7FF7C405"/>
    <w:rsid w:val="AFE7F49D"/>
    <w:rsid w:val="B3EC216A"/>
    <w:rsid w:val="D7FBBA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qFormat/>
    <w:uiPriority w:val="0"/>
    <w:rPr>
      <w:rFonts w:ascii="Times New Roman" w:hAnsi="Times New Roman" w:eastAsia="宋体" w:cs="Times New Roman"/>
      <w:szCs w:val="24"/>
    </w:rPr>
  </w:style>
  <w:style w:type="table" w:default="1" w:styleId="16">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annotation text"/>
    <w:basedOn w:val="1"/>
    <w:link w:val="26"/>
    <w:qFormat/>
    <w:uiPriority w:val="0"/>
    <w:pPr>
      <w:jc w:val="left"/>
    </w:pPr>
    <w:rPr>
      <w:rFonts w:ascii="Times New Roman" w:hAnsi="Times New Roman" w:eastAsia="宋体" w:cs="Times New Roman"/>
      <w:szCs w:val="24"/>
    </w:rPr>
  </w:style>
  <w:style w:type="paragraph" w:styleId="7">
    <w:name w:val="Body Text"/>
    <w:basedOn w:val="1"/>
    <w:link w:val="23"/>
    <w:qFormat/>
    <w:uiPriority w:val="0"/>
    <w:pPr>
      <w:spacing w:after="120" w:afterLines="0"/>
    </w:pPr>
    <w:rPr>
      <w:rFonts w:ascii="Times New Roman" w:hAnsi="Times New Roman" w:eastAsia="宋体" w:cs="Times New Roman"/>
      <w:sz w:val="32"/>
      <w:szCs w:val="20"/>
    </w:rPr>
  </w:style>
  <w:style w:type="paragraph" w:styleId="8">
    <w:name w:val="Body Text Indent"/>
    <w:basedOn w:val="1"/>
    <w:qFormat/>
    <w:uiPriority w:val="0"/>
    <w:pPr>
      <w:spacing w:line="320" w:lineRule="exact"/>
      <w:ind w:firstLine="570"/>
    </w:pPr>
    <w:rPr>
      <w:rFonts w:ascii="宋体"/>
      <w:szCs w:val="20"/>
    </w:rPr>
  </w:style>
  <w:style w:type="paragraph" w:styleId="9">
    <w:name w:val="Plain Text"/>
    <w:basedOn w:val="1"/>
    <w:link w:val="27"/>
    <w:qFormat/>
    <w:uiPriority w:val="0"/>
    <w:rPr>
      <w:rFonts w:ascii="宋体" w:hAnsi="Courier New" w:eastAsia="宋体" w:cs="Times New Roman"/>
      <w:szCs w:val="21"/>
    </w:rPr>
  </w:style>
  <w:style w:type="paragraph" w:styleId="10">
    <w:name w:val="Balloon Text"/>
    <w:basedOn w:val="1"/>
    <w:qFormat/>
    <w:uiPriority w:val="0"/>
    <w:rPr>
      <w:rFonts w:ascii="Times New Roman" w:hAnsi="Times New Roman" w:eastAsia="宋体" w:cs="Times New Roman"/>
      <w:sz w:val="18"/>
      <w:szCs w:val="18"/>
    </w:rPr>
  </w:style>
  <w:style w:type="paragraph" w:styleId="11">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qFormat/>
    <w:uiPriority w:val="0"/>
    <w:pPr>
      <w:ind w:firstLine="200" w:firstLineChars="200"/>
    </w:pPr>
  </w:style>
  <w:style w:type="table" w:styleId="17">
    <w:name w:val="Table Grid"/>
    <w:basedOn w:val="1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rPr>
      <w:rFonts w:ascii="Times New Roman" w:hAnsi="Times New Roman" w:eastAsia="宋体" w:cs="Times New Roman"/>
    </w:rPr>
  </w:style>
  <w:style w:type="character" w:styleId="20">
    <w:name w:val="FollowedHyperlink"/>
    <w:qFormat/>
    <w:uiPriority w:val="0"/>
    <w:rPr>
      <w:rFonts w:ascii="Times New Roman" w:hAnsi="Times New Roman" w:eastAsia="宋体" w:cs="Times New Roman"/>
      <w:color w:val="954F72"/>
      <w:szCs w:val="24"/>
      <w:u w:val="single"/>
    </w:rPr>
  </w:style>
  <w:style w:type="character" w:styleId="21">
    <w:name w:val="Hyperlink"/>
    <w:qFormat/>
    <w:uiPriority w:val="0"/>
    <w:rPr>
      <w:rFonts w:ascii="Times New Roman" w:hAnsi="Times New Roman" w:eastAsia="宋体" w:cs="Times New Roman"/>
      <w:color w:val="0000FF"/>
      <w:szCs w:val="24"/>
      <w:u w:val="single"/>
    </w:rPr>
  </w:style>
  <w:style w:type="paragraph" w:customStyle="1" w:styleId="2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qFormat/>
    <w:uiPriority w:val="0"/>
    <w:rPr>
      <w:rFonts w:ascii="Times New Roman" w:hAnsi="Times New Roman" w:eastAsia="宋体" w:cs="Times New Roman"/>
      <w:kern w:val="2"/>
      <w:sz w:val="32"/>
    </w:rPr>
  </w:style>
  <w:style w:type="character" w:customStyle="1" w:styleId="24">
    <w:name w:val="标题 2 字符"/>
    <w:link w:val="3"/>
    <w:qFormat/>
    <w:uiPriority w:val="0"/>
    <w:rPr>
      <w:rFonts w:ascii="宋体" w:hAnsi="宋体" w:eastAsia="宋体" w:cs="Times New Roman"/>
      <w:b/>
      <w:bCs/>
      <w:kern w:val="2"/>
      <w:sz w:val="28"/>
      <w:szCs w:val="32"/>
    </w:rPr>
  </w:style>
  <w:style w:type="character" w:customStyle="1" w:styleId="25">
    <w:name w:val="标题 3 字符"/>
    <w:link w:val="4"/>
    <w:qFormat/>
    <w:uiPriority w:val="0"/>
    <w:rPr>
      <w:rFonts w:ascii="Times New Roman" w:hAnsi="Times New Roman" w:eastAsia="宋体" w:cs="Times New Roman"/>
      <w:b/>
      <w:bCs/>
      <w:kern w:val="2"/>
      <w:sz w:val="32"/>
      <w:szCs w:val="32"/>
    </w:rPr>
  </w:style>
  <w:style w:type="character" w:customStyle="1" w:styleId="26">
    <w:name w:val="批注文字 字符"/>
    <w:link w:val="6"/>
    <w:qFormat/>
    <w:uiPriority w:val="0"/>
    <w:rPr>
      <w:rFonts w:ascii="Times New Roman" w:hAnsi="Times New Roman" w:eastAsia="宋体" w:cs="Times New Roman"/>
      <w:kern w:val="2"/>
      <w:sz w:val="21"/>
      <w:szCs w:val="24"/>
    </w:rPr>
  </w:style>
  <w:style w:type="character" w:customStyle="1" w:styleId="27">
    <w:name w:val="纯文本 字符"/>
    <w:link w:val="9"/>
    <w:qFormat/>
    <w:uiPriority w:val="0"/>
    <w:rPr>
      <w:rFonts w:ascii="宋体" w:hAnsi="Courier New" w:eastAsia="宋体" w:cs="Courier New"/>
      <w:kern w:val="2"/>
      <w:sz w:val="21"/>
      <w:szCs w:val="21"/>
    </w:rPr>
  </w:style>
  <w:style w:type="character" w:customStyle="1" w:styleId="28">
    <w:name w:val="纯文本 Char1"/>
    <w:qFormat/>
    <w:uiPriority w:val="0"/>
    <w:rPr>
      <w:rFonts w:ascii="宋体" w:hAnsi="Courier New" w:eastAsia="宋体" w:cs="Courier New"/>
      <w:kern w:val="2"/>
      <w:sz w:val="21"/>
      <w:szCs w:val="21"/>
    </w:rPr>
  </w:style>
  <w:style w:type="character" w:customStyle="1" w:styleId="29">
    <w:name w:val="批注文字 Char1"/>
    <w:qFormat/>
    <w:uiPriority w:val="0"/>
    <w:rPr>
      <w:rFonts w:ascii="Times New Roman" w:hAnsi="Times New Roman" w:eastAsia="宋体" w:cs="Times New Roman"/>
      <w:kern w:val="2"/>
      <w:sz w:val="21"/>
      <w:szCs w:val="24"/>
    </w:rPr>
  </w:style>
  <w:style w:type="character" w:customStyle="1" w:styleId="30">
    <w:name w:val=" Char Char"/>
    <w:qFormat/>
    <w:uiPriority w:val="0"/>
    <w:rPr>
      <w:rFonts w:ascii="宋体" w:hAnsi="Courier New" w:eastAsia="宋体" w:cs="Courier New"/>
      <w:kern w:val="2"/>
      <w:sz w:val="21"/>
      <w:szCs w:val="21"/>
    </w:rPr>
  </w:style>
  <w:style w:type="paragraph" w:customStyle="1" w:styleId="31">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qFormat/>
    <w:uiPriority w:val="0"/>
    <w:rPr>
      <w:rFonts w:ascii="Times New Roman" w:hAnsi="Times New Roman" w:eastAsia="宋体" w:cs="Times New Roman"/>
      <w:szCs w:val="24"/>
    </w:rPr>
  </w:style>
  <w:style w:type="paragraph" w:customStyle="1" w:styleId="33">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qFormat/>
    <w:uiPriority w:val="0"/>
    <w:rPr>
      <w:rFonts w:ascii="宋体" w:hAnsi="宋体"/>
      <w:b/>
      <w:bCs/>
      <w:kern w:val="2"/>
      <w:sz w:val="24"/>
      <w:szCs w:val="32"/>
    </w:rPr>
  </w:style>
  <w:style w:type="paragraph" w:customStyle="1" w:styleId="48">
    <w:name w:val="表格文字"/>
    <w:basedOn w:val="1"/>
    <w:next w:val="7"/>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14310</Words>
  <Characters>14983</Characters>
  <Lines>1</Lines>
  <Paragraphs>1</Paragraphs>
  <TotalTime>0</TotalTime>
  <ScaleCrop>false</ScaleCrop>
  <LinksUpToDate>false</LinksUpToDate>
  <CharactersWithSpaces>16558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2019-06-26T04:18:00Z</dcterms:created>
  <dc:creator>Administrator</dc:creator>
  <cp:lastModifiedBy>，、。</cp:lastModifiedBy>
  <cp:lastPrinted>2023-12-22T01:37:00Z</cp:lastPrinted>
  <dcterms:modified xsi:type="dcterms:W3CDTF">2026-04-19T12:24:36Z</dcterms:modified>
  <dc:title>山西潞安工程有限公司竞争性谈判文件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1AA1F384E4C142E9B96CC3EBBE9BB570_13</vt:lpwstr>
  </property>
  <property fmtid="{D5CDD505-2E9C-101B-9397-08002B2CF9AE}" pid="4" name="KSOTemplateDocerSaveRecord">
    <vt:lpwstr>eyJoZGlkIjoiOGM3MzFjN2VmYWE3ZjVlZWQwZWRiMzBmNzAzZmVkZjkiLCJ1c2VySWQiOiIzOTUxOTg4NTgifQ==</vt:lpwstr>
  </property>
</Properties>
</file>