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86"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LAGCGSKJFGS（L）117</w:t>
      </w:r>
    </w:p>
    <w:p w14:paraId="53CAF052">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寺家庄煤业井下瓦斯抽采钻孔、通风设施、抽放管路及回风整巷工程</w:t>
      </w:r>
    </w:p>
    <w:p w14:paraId="2AC63728">
      <w:pPr>
        <w:ind w:left="3513"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2026年2月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寺家庄煤业井下瓦斯抽采钻孔、通风设施、抽放管路及回风整巷工程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寺家庄煤业井下瓦斯抽采钻孔、通风设施、抽放管路及回风整巷工程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1、寺家庄煤业井下瓦斯抽采钻孔、通风设施、抽放管路及回风整巷工程。</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范围：15306工作面底板岩石预抽巷、15306工作面切巷底板岩石预抽巷、15306工作面回风底板岩石预抽巷、15316 工作面回风巷等井下巷道以岩保煤瓦斯抽放钻孔工程及抽采管路安装、拆除等工程施工。</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7</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328天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瓦斯抽采煤孔（不包含封孔、并网）φ113mm煤孔单价为43元/米（不含税）；②瓦斯抽采岩孔（不包含封孔、并网）φ113mm岩孔单价为92元/米（不含税）；③瓦斯抽采煤孔（包含封孔、并网、排水、出渣）φ113mm煤孔单价为54元/米（不含税）；④瓦斯抽采岩孔（包含封孔、并网、排水、出渣）φ113mm岩孔单价为93元/米（不含税）；⑤取芯钻杆定点取样钻孔φ113mm煤孔单价为85元/米（不含税）；⑥地面安装工程 企业管理费：21.9%， 利润：11.9% 组织措施费：5.7%；⑦井下安装工程 企业管理费：16.8%， 利润：10.7% 组织措施费：2.5%。</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2026年2月6日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000000" w:themeColor="text1"/>
          <w:sz w:val="24"/>
          <w:szCs w:val="24"/>
          <w:highlight w:val="none"/>
          <w:lang w:val="en-US" w:eastAsia="zh-CN"/>
          <w14:textFill>
            <w14:solidFill>
              <w14:schemeClr w14:val="tx1"/>
            </w14:solidFill>
          </w14:textFill>
        </w:rPr>
        <w:t>王哲</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18334509346</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2026年2月5日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000768D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（1）、瓦斯抽采钻孔工程结算方式为：验收进尺×钻孔单价，钻孔单价（不含税）按照双方谈判完成的价格计取；</w:t>
      </w:r>
    </w:p>
    <w:p w14:paraId="6F526AA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（2）、抽放管路安装、拆除工程价款按规定的工程造价计算程序计算，抽放管路工程企业管理费、利润、组织措施费按双方谈判完成的费率计取；</w:t>
      </w:r>
    </w:p>
    <w:p w14:paraId="4C1699E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（3）、税金及附加税费按山西省住房和城乡建设厅晋建标函〔2016〕383号通知的税金税率执行；</w:t>
      </w:r>
    </w:p>
    <w:p w14:paraId="2400A77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（4）、分包人应负责向承包人开具3%的增值税普通发票，在合同履行期间，如遇国家的税率调整，则价税合计的价格应相应调整，以发票开具的时间为准；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（5）、安全费用由分包人负责投入，按公司相关规定要求实施，结算金额中含合同价款3.5%的安全费用。</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1"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026351"/>
      <w:bookmarkStart w:id="1" w:name="_Toc389602796"/>
      <w:bookmarkStart w:id="2" w:name="_Toc389663453"/>
      <w:bookmarkStart w:id="3" w:name="_Toc384137522"/>
      <w:bookmarkStart w:id="4" w:name="_Toc383940877"/>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89586296"/>
      <w:bookmarkStart w:id="7" w:name="_Toc351203481"/>
      <w:bookmarkStart w:id="8" w:name="_Toc389663454"/>
      <w:bookmarkStart w:id="9" w:name="_Toc384137523"/>
      <w:bookmarkStart w:id="10" w:name="_Toc383940878"/>
      <w:bookmarkStart w:id="11" w:name="_Toc384026352"/>
      <w:bookmarkStart w:id="12" w:name="_Toc389602797"/>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137525"/>
      <w:bookmarkStart w:id="14" w:name="_Toc383940880"/>
      <w:bookmarkStart w:id="15" w:name="_Toc384026354"/>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137526"/>
      <w:bookmarkStart w:id="19" w:name="_Toc383940881"/>
      <w:bookmarkStart w:id="20" w:name="_Toc389602800"/>
      <w:bookmarkStart w:id="21" w:name="_Toc384026355"/>
      <w:bookmarkStart w:id="22" w:name="_Toc389663457"/>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3940883"/>
      <w:bookmarkStart w:id="24" w:name="_Toc389602802"/>
      <w:bookmarkStart w:id="25" w:name="_Toc384137528"/>
      <w:bookmarkStart w:id="26" w:name="_Toc389663459"/>
      <w:bookmarkStart w:id="27" w:name="_Toc384026357"/>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137529"/>
      <w:bookmarkStart w:id="29" w:name="_Toc389602803"/>
      <w:bookmarkStart w:id="30" w:name="_Toc383940884"/>
      <w:bookmarkStart w:id="31" w:name="_Toc389663460"/>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63546"/>
      <w:bookmarkStart w:id="34" w:name="_Toc389602889"/>
      <w:bookmarkStart w:id="35" w:name="_Toc384026467"/>
      <w:bookmarkStart w:id="36" w:name="_Toc383940993"/>
      <w:bookmarkStart w:id="37" w:name="_Toc384137615"/>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54024"/>
      <w:bookmarkStart w:id="39" w:name="_Toc383940995"/>
      <w:bookmarkStart w:id="40" w:name="_Toc389602891"/>
      <w:bookmarkStart w:id="41" w:name="_Toc384137617"/>
      <w:bookmarkStart w:id="42" w:name="_Toc384026469"/>
      <w:bookmarkStart w:id="43" w:name="_Toc389663548"/>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3940996"/>
      <w:bookmarkStart w:id="55" w:name="_Toc384054025"/>
      <w:bookmarkStart w:id="56" w:name="_Toc389602897"/>
      <w:bookmarkStart w:id="57" w:name="_Toc384137618"/>
      <w:bookmarkStart w:id="58" w:name="_Toc384026470"/>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054026"/>
      <w:bookmarkStart w:id="65" w:name="_Toc389663557"/>
      <w:bookmarkStart w:id="66" w:name="_Toc389602900"/>
      <w:bookmarkStart w:id="67" w:name="_Toc383940997"/>
      <w:bookmarkStart w:id="68" w:name="_Toc384137619"/>
      <w:bookmarkStart w:id="69" w:name="_Toc384026471"/>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0"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54028"/>
      <w:bookmarkStart w:id="82" w:name="_Toc389663565"/>
      <w:bookmarkStart w:id="83" w:name="_Toc384137621"/>
      <w:bookmarkStart w:id="84" w:name="_Toc384026473"/>
      <w:bookmarkStart w:id="85" w:name="_Toc383940999"/>
      <w:bookmarkStart w:id="86" w:name="_Toc38960290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1037618"/>
      <w:bookmarkStart w:id="89" w:name="_Toc389663566"/>
    </w:p>
    <w:p w14:paraId="79C071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26474"/>
      <w:bookmarkStart w:id="100" w:name="_Toc383941000"/>
      <w:bookmarkStart w:id="101" w:name="_Toc384054029"/>
      <w:bookmarkStart w:id="102" w:name="_Toc384137622"/>
      <w:bookmarkStart w:id="103" w:name="_Toc389663570"/>
      <w:bookmarkStart w:id="104" w:name="_Toc389602913"/>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9602925"/>
      <w:bookmarkStart w:id="111" w:name="_Toc384137625"/>
      <w:bookmarkStart w:id="112" w:name="_Toc384054032"/>
      <w:bookmarkStart w:id="113" w:name="_Toc383941003"/>
      <w:bookmarkStart w:id="114" w:name="_Toc38966358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54033"/>
      <w:bookmarkStart w:id="118" w:name="_Toc384026478"/>
      <w:bookmarkStart w:id="119" w:name="_Toc389663585"/>
      <w:bookmarkStart w:id="120" w:name="_Toc384137626"/>
      <w:bookmarkStart w:id="121" w:name="_Toc389602929"/>
      <w:bookmarkStart w:id="122" w:name="_Toc383941004"/>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26479"/>
      <w:bookmarkStart w:id="124" w:name="_Toc384137627"/>
      <w:bookmarkStart w:id="125" w:name="_Toc384054034"/>
      <w:bookmarkStart w:id="126" w:name="_Toc383941005"/>
      <w:bookmarkStart w:id="127" w:name="_Toc389663589"/>
      <w:bookmarkStart w:id="128" w:name="_Toc389602932"/>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63592"/>
      <w:bookmarkStart w:id="133" w:name="_Toc384137628"/>
      <w:bookmarkStart w:id="134" w:name="_Toc384026480"/>
      <w:bookmarkStart w:id="135" w:name="_Toc383941006"/>
      <w:bookmarkStart w:id="136" w:name="_Toc384054035"/>
      <w:bookmarkStart w:id="137" w:name="_Toc389602935"/>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54036"/>
      <w:bookmarkStart w:id="141" w:name="_Toc383941007"/>
      <w:bookmarkStart w:id="142" w:name="_Toc389602939"/>
      <w:bookmarkStart w:id="143" w:name="_Toc389663596"/>
      <w:bookmarkStart w:id="144" w:name="_Toc384137629"/>
      <w:bookmarkStart w:id="145" w:name="_Toc384026481"/>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26484"/>
      <w:bookmarkStart w:id="151" w:name="_Toc383941010"/>
      <w:bookmarkStart w:id="152" w:name="_Toc389602947"/>
      <w:bookmarkStart w:id="153" w:name="_Toc384054039"/>
      <w:bookmarkStart w:id="154" w:name="_Toc389663606"/>
      <w:bookmarkStart w:id="155" w:name="_Toc384137632"/>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寺家庄煤业井下瓦斯抽采钻孔、通风设施、抽放管路及回风整巷工程</w:t>
      </w: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86"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117</w:t>
      </w:r>
    </w:p>
    <w:p w14:paraId="56C5982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寺家庄煤业井下瓦斯抽采钻孔、通风设施、抽放管路及回风整巷工程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2026年2月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04"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经研究，我方决定参加寺家庄煤业井下瓦斯抽采钻孔、通风设施、抽放管路及回风整巷工程施工的谈判活动并提交报价文件，为此，我方郑重声明以下诸点，并负法律责任。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2026年2月5日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办理寺家庄煤业井下瓦斯抽采钻孔、通风设施、抽放管路及回风整巷工程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有关寺家庄煤业井下瓦斯抽采钻孔、通风设施、抽放管路及回风整巷工程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2026年2月5日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2026年2月6日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2026年2月5日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56119F7A">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2"/>
          <w:sz w:val="28"/>
          <w:szCs w:val="28"/>
          <w:highlight w:val="none"/>
        </w:rPr>
      </w:pPr>
      <w:r>
        <w:rPr>
          <w:rFonts w:hint="eastAsia" w:ascii="宋体" w:hAnsi="宋体" w:eastAsia="宋体" w:cs="宋体"/>
          <w:b/>
          <w:bCs/>
          <w:kern w:val="2"/>
          <w:sz w:val="28"/>
          <w:szCs w:val="28"/>
          <w:highlight w:val="none"/>
          <w:lang w:val="en-US" w:eastAsia="zh-CN" w:bidi="ar"/>
        </w:rPr>
        <w:t>三、报价一览表</w:t>
      </w:r>
    </w:p>
    <w:p w14:paraId="0DC6D2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atLeast"/>
        <w:ind w:left="0" w:right="0"/>
        <w:jc w:val="both"/>
        <w:textAlignment w:val="auto"/>
        <w:rPr>
          <w:rFonts w:hint="eastAsia" w:ascii="宋体" w:hAnsi="宋体" w:eastAsia="宋体" w:cs="宋体"/>
          <w:kern w:val="2"/>
          <w:sz w:val="28"/>
          <w:szCs w:val="28"/>
          <w:highlight w:val="none"/>
          <w:u w:val="single"/>
        </w:rPr>
      </w:pPr>
      <w:r>
        <w:rPr>
          <w:rFonts w:hint="eastAsia" w:ascii="宋体" w:hAnsi="宋体" w:eastAsia="宋体" w:cs="宋体"/>
          <w:kern w:val="2"/>
          <w:sz w:val="28"/>
          <w:szCs w:val="28"/>
          <w:highlight w:val="none"/>
          <w:lang w:val="en-US" w:eastAsia="zh-CN" w:bidi="ar"/>
        </w:rPr>
        <w:t>项目名称：寺家庄煤业井下瓦斯抽采钻孔、通风设施、抽放管路及回风整巷工程</w:t>
      </w:r>
    </w:p>
    <w:p w14:paraId="2A0DE5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atLeast"/>
        <w:ind w:left="0" w:right="0"/>
        <w:jc w:val="both"/>
        <w:textAlignment w:val="auto"/>
        <w:rPr>
          <w:rFonts w:hint="eastAsia" w:ascii="宋体" w:hAnsi="宋体" w:eastAsia="宋体" w:cs="宋体"/>
          <w:kern w:val="2"/>
          <w:sz w:val="28"/>
          <w:szCs w:val="28"/>
          <w:highlight w:val="none"/>
          <w:u w:val="single"/>
        </w:rPr>
      </w:pPr>
      <w:r>
        <w:rPr>
          <w:rFonts w:hint="eastAsia" w:ascii="宋体" w:hAnsi="宋体" w:eastAsia="宋体" w:cs="宋体"/>
          <w:kern w:val="2"/>
          <w:sz w:val="28"/>
          <w:szCs w:val="28"/>
          <w:highlight w:val="none"/>
          <w:lang w:val="en-US" w:eastAsia="zh-CN" w:bidi="ar"/>
        </w:rPr>
        <w:t>谈判方名称：</w:t>
      </w:r>
      <w:r>
        <w:rPr>
          <w:rFonts w:hint="eastAsia" w:ascii="宋体" w:hAnsi="宋体" w:eastAsia="宋体" w:cs="宋体"/>
          <w:kern w:val="2"/>
          <w:sz w:val="28"/>
          <w:szCs w:val="28"/>
          <w:highlight w:val="none"/>
          <w:u w:val="single"/>
          <w:lang w:val="en-US" w:eastAsia="zh-CN" w:bidi="ar"/>
        </w:rPr>
        <w:t xml:space="preserve">                               </w:t>
      </w:r>
      <w:r>
        <w:rPr>
          <w:rFonts w:hint="eastAsia" w:ascii="宋体" w:hAnsi="宋体" w:eastAsia="宋体" w:cs="宋体"/>
          <w:kern w:val="2"/>
          <w:sz w:val="28"/>
          <w:szCs w:val="28"/>
          <w:highlight w:val="none"/>
          <w:lang w:val="en-US" w:eastAsia="zh-CN" w:bidi="ar"/>
        </w:rPr>
        <w:t>（公章）</w:t>
      </w:r>
    </w:p>
    <w:p w14:paraId="48CD55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atLeast"/>
        <w:ind w:left="0" w:right="0"/>
        <w:jc w:val="both"/>
        <w:textAlignment w:val="auto"/>
        <w:rPr>
          <w:rFonts w:hint="eastAsia" w:ascii="宋体" w:hAnsi="宋体" w:eastAsia="宋体" w:cs="宋体"/>
          <w:kern w:val="2"/>
          <w:sz w:val="28"/>
          <w:szCs w:val="28"/>
          <w:highlight w:val="none"/>
          <w:u w:val="single"/>
        </w:rPr>
      </w:pPr>
      <w:r>
        <w:rPr>
          <w:rFonts w:hint="eastAsia" w:ascii="宋体" w:hAnsi="宋体" w:eastAsia="宋体" w:cs="宋体"/>
          <w:kern w:val="2"/>
          <w:sz w:val="28"/>
          <w:szCs w:val="28"/>
          <w:highlight w:val="none"/>
          <w:lang w:val="en-US" w:eastAsia="zh-CN" w:bidi="ar"/>
        </w:rPr>
        <w:t>法定代表人或其授权委托代理人签字：</w:t>
      </w:r>
      <w:r>
        <w:rPr>
          <w:rFonts w:hint="eastAsia" w:ascii="宋体" w:hAnsi="宋体" w:eastAsia="宋体" w:cs="宋体"/>
          <w:kern w:val="2"/>
          <w:sz w:val="28"/>
          <w:szCs w:val="28"/>
          <w:highlight w:val="none"/>
          <w:u w:val="single"/>
          <w:lang w:val="en-US" w:eastAsia="zh-CN" w:bidi="ar"/>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07"/>
        <w:gridCol w:w="2619"/>
        <w:gridCol w:w="2165"/>
        <w:gridCol w:w="2168"/>
      </w:tblGrid>
      <w:tr w14:paraId="5FD9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24"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48EAE169">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谈判前</w:t>
            </w:r>
          </w:p>
          <w:p w14:paraId="50DAF81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基础报价</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00E4ED">
            <w:pPr>
              <w:keepNext w:val="0"/>
              <w:keepLines w:val="0"/>
              <w:widowControl w:val="0"/>
              <w:suppressLineNumbers w:val="0"/>
              <w:autoSpaceDE w:val="0"/>
              <w:autoSpaceDN/>
              <w:spacing w:before="0" w:beforeAutospacing="0" w:after="0" w:afterAutospacing="0"/>
              <w:ind w:left="0" w:right="0"/>
              <w:jc w:val="both"/>
              <w:rPr>
                <w:rFonts w:hint="eastAsia" w:ascii="宋体" w:hAnsi="宋体" w:eastAsia="宋体" w:cs="宋体"/>
                <w:kern w:val="2"/>
                <w:sz w:val="20"/>
                <w:szCs w:val="20"/>
                <w:highlight w:val="none"/>
              </w:rPr>
            </w:pPr>
            <w:r>
              <w:rPr>
                <w:rFonts w:hint="eastAsia" w:ascii="宋体" w:hAnsi="宋体" w:eastAsia="宋体" w:cs="宋体"/>
                <w:kern w:val="2"/>
                <w:sz w:val="20"/>
                <w:szCs w:val="20"/>
                <w:highlight w:val="none"/>
                <w:lang w:val="en-US" w:eastAsia="zh-CN" w:bidi="ar"/>
              </w:rPr>
              <w:t>①瓦斯抽采煤孔（不包含封孔、并网）φ113mm煤孔单价为</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元/米（不含税）；②瓦斯抽采岩孔（不包含封孔、并网）φ113mm岩孔单价为</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元/米（不含税）；③瓦斯抽采煤孔（包含封孔、并网、排水、出渣）φ113mm煤孔单价为</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元/米（不含税）；④瓦斯抽采岩孔（包含封孔、并网、排水、出渣）φ113mm岩孔单价为</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元/米（不含税）；⑤取芯钻杆定点取样钻孔φ113mm煤孔单价为</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元/米（不含税）；⑥地面安装工程 企业管理费：</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 利润：</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 组织措施费：</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%；⑦井下安装工程 企业管理费：</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 利润：</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 组织措施费：</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w:t>
            </w:r>
          </w:p>
        </w:tc>
      </w:tr>
      <w:tr w14:paraId="5902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4"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77B55BF5">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谈判限价（最高不超过限价）</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AD34AE0">
            <w:pPr>
              <w:keepNext w:val="0"/>
              <w:keepLines w:val="0"/>
              <w:widowControl w:val="0"/>
              <w:suppressLineNumbers w:val="0"/>
              <w:autoSpaceDE w:val="0"/>
              <w:autoSpaceDN/>
              <w:spacing w:before="0" w:beforeAutospacing="0" w:after="0" w:afterAutospacing="0"/>
              <w:ind w:left="0" w:right="0"/>
              <w:jc w:val="both"/>
              <w:rPr>
                <w:rFonts w:hint="eastAsia" w:ascii="宋体" w:hAnsi="宋体" w:eastAsia="宋体" w:cs="宋体"/>
                <w:kern w:val="2"/>
                <w:sz w:val="20"/>
                <w:szCs w:val="20"/>
                <w:highlight w:val="none"/>
              </w:rPr>
            </w:pPr>
            <w:r>
              <w:rPr>
                <w:rFonts w:hint="eastAsia" w:ascii="宋体" w:hAnsi="宋体" w:eastAsia="宋体" w:cs="宋体"/>
                <w:kern w:val="2"/>
                <w:sz w:val="20"/>
                <w:szCs w:val="20"/>
                <w:highlight w:val="none"/>
                <w:lang w:val="en-US" w:eastAsia="zh-CN" w:bidi="ar"/>
              </w:rPr>
              <w:t>①瓦斯抽采煤孔（不包含封孔、并网）φ113mm煤孔单价为43元/米（不含税）；②瓦斯抽采岩孔（不包含封孔、并网）φ113mm岩孔单价为92元/米（不含税）；③瓦斯抽采煤孔（包含封孔、并网、排水、出渣）φ113mm煤孔单价为54元/米（不含税）；④瓦斯抽采岩孔（包含封孔、并网、排水、出渣）φ113mm岩孔单价为93元/米（不含税）；⑤取芯钻杆定点取样钻孔φ113mm煤孔单价为85元/米（不含税）；⑥地面安装工程 企业管理费：21.9%， 利润：11.9% 组织措施费：5.7%；⑦井下安装工程 企业管理费：16.8%， 利润：10.7% 组织措施费：2.5%；</w:t>
            </w:r>
          </w:p>
        </w:tc>
      </w:tr>
      <w:tr w14:paraId="42FE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3F8CC457">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质量标准</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top"/>
          </w:tcPr>
          <w:p w14:paraId="7D33ED4E">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合格</w:t>
            </w:r>
          </w:p>
        </w:tc>
      </w:tr>
      <w:tr w14:paraId="2079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085B328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承诺工期</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FE1A4C">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highlight w:val="none"/>
                <w:shd w:val="clear" w:fill="7F7F7F"/>
              </w:rPr>
            </w:pPr>
            <w:r>
              <w:rPr>
                <w:rFonts w:hint="eastAsia" w:ascii="宋体" w:hAnsi="宋体" w:eastAsia="宋体" w:cs="宋体"/>
                <w:kern w:val="2"/>
                <w:sz w:val="28"/>
                <w:szCs w:val="28"/>
                <w:highlight w:val="none"/>
                <w:lang w:val="en-US" w:eastAsia="zh-CN" w:bidi="ar"/>
              </w:rPr>
              <w:t>328天</w:t>
            </w:r>
          </w:p>
        </w:tc>
      </w:tr>
      <w:tr w14:paraId="4C64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0BFD3DD0">
            <w:pPr>
              <w:keepNext w:val="0"/>
              <w:keepLines w:val="0"/>
              <w:widowControl w:val="0"/>
              <w:suppressLineNumbers w:val="0"/>
              <w:autoSpaceDE w:val="0"/>
              <w:autoSpaceDN/>
              <w:spacing w:before="0" w:beforeAutospacing="0" w:after="0" w:afterAutospacing="0" w:line="300" w:lineRule="exact"/>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项目经理</w:t>
            </w:r>
          </w:p>
          <w:p w14:paraId="58373DD0">
            <w:pPr>
              <w:keepNext w:val="0"/>
              <w:keepLines w:val="0"/>
              <w:widowControl w:val="0"/>
              <w:suppressLineNumbers w:val="0"/>
              <w:autoSpaceDE w:val="0"/>
              <w:autoSpaceDN/>
              <w:spacing w:before="0" w:beforeAutospacing="0" w:after="0" w:afterAutospacing="0" w:line="300" w:lineRule="exact"/>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（建造师）</w:t>
            </w:r>
          </w:p>
        </w:tc>
        <w:tc>
          <w:tcPr>
            <w:tcW w:w="2619" w:type="dxa"/>
            <w:tcBorders>
              <w:top w:val="single" w:color="auto" w:sz="4" w:space="0"/>
              <w:left w:val="single" w:color="auto" w:sz="4" w:space="0"/>
              <w:bottom w:val="single" w:color="auto" w:sz="4" w:space="0"/>
              <w:right w:val="single" w:color="auto" w:sz="4" w:space="0"/>
            </w:tcBorders>
            <w:shd w:val="clear" w:color="auto" w:fill="auto"/>
            <w:vAlign w:val="center"/>
          </w:tcPr>
          <w:p w14:paraId="6A9312C6">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p>
        </w:tc>
        <w:tc>
          <w:tcPr>
            <w:tcW w:w="2165" w:type="dxa"/>
            <w:tcBorders>
              <w:top w:val="single" w:color="auto" w:sz="4" w:space="0"/>
              <w:left w:val="single" w:color="auto" w:sz="4" w:space="0"/>
              <w:bottom w:val="single" w:color="auto" w:sz="4" w:space="0"/>
              <w:right w:val="single" w:color="auto" w:sz="4" w:space="0"/>
            </w:tcBorders>
            <w:shd w:val="clear" w:color="auto" w:fill="auto"/>
            <w:vAlign w:val="center"/>
          </w:tcPr>
          <w:p w14:paraId="6913CF1C">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lang w:val="en-US" w:eastAsia="zh-CN" w:bidi="ar"/>
              </w:rPr>
              <w:t>级别及编号</w:t>
            </w:r>
          </w:p>
        </w:tc>
        <w:tc>
          <w:tcPr>
            <w:tcW w:w="2168" w:type="dxa"/>
            <w:tcBorders>
              <w:top w:val="single" w:color="auto" w:sz="4" w:space="0"/>
              <w:left w:val="single" w:color="auto" w:sz="4" w:space="0"/>
              <w:bottom w:val="single" w:color="auto" w:sz="4" w:space="0"/>
              <w:right w:val="single" w:color="auto" w:sz="4" w:space="0"/>
            </w:tcBorders>
            <w:shd w:val="clear" w:color="auto" w:fill="auto"/>
            <w:vAlign w:val="center"/>
          </w:tcPr>
          <w:p w14:paraId="7686B604">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8"/>
                <w:szCs w:val="28"/>
                <w:highlight w:val="none"/>
              </w:rPr>
            </w:pPr>
          </w:p>
        </w:tc>
      </w:tr>
      <w:tr w14:paraId="7AFE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718C0B3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eastAsia="宋体" w:cs="宋体"/>
                <w:kern w:val="2"/>
                <w:sz w:val="28"/>
                <w:szCs w:val="28"/>
                <w:highlight w:val="none"/>
              </w:rPr>
            </w:pPr>
            <w:r>
              <w:rPr>
                <w:rFonts w:hint="eastAsia" w:ascii="宋体" w:hAnsi="宋体" w:eastAsia="宋体" w:cs="宋体"/>
                <w:kern w:val="2"/>
                <w:sz w:val="24"/>
                <w:szCs w:val="24"/>
                <w:highlight w:val="none"/>
                <w:lang w:val="en-US" w:eastAsia="zh-CN" w:bidi="ar"/>
              </w:rPr>
              <w:t>对谈判文件</w:t>
            </w:r>
            <w:r>
              <w:rPr>
                <w:rFonts w:hint="eastAsia" w:ascii="宋体" w:hAnsi="宋体" w:cs="宋体"/>
                <w:kern w:val="2"/>
                <w:sz w:val="24"/>
                <w:szCs w:val="24"/>
                <w:highlight w:val="none"/>
                <w:lang w:val="en-US" w:eastAsia="zh-CN" w:bidi="ar"/>
              </w:rPr>
              <w:t>的</w:t>
            </w:r>
            <w:r>
              <w:rPr>
                <w:rFonts w:hint="eastAsia" w:ascii="宋体" w:hAnsi="宋体" w:eastAsia="宋体" w:cs="宋体"/>
                <w:kern w:val="2"/>
                <w:sz w:val="24"/>
                <w:szCs w:val="24"/>
                <w:highlight w:val="none"/>
                <w:lang w:val="en-US" w:eastAsia="zh-CN" w:bidi="ar"/>
              </w:rPr>
              <w:t>认可程度</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69AEAF">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highlight w:val="none"/>
              </w:rPr>
            </w:pPr>
          </w:p>
        </w:tc>
      </w:tr>
      <w:tr w14:paraId="27CC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3" w:hRule="atLeast"/>
        </w:trPr>
        <w:tc>
          <w:tcPr>
            <w:tcW w:w="1707" w:type="dxa"/>
            <w:tcBorders>
              <w:top w:val="single" w:color="auto" w:sz="4" w:space="0"/>
              <w:left w:val="single" w:color="auto" w:sz="4" w:space="0"/>
              <w:bottom w:val="single" w:color="auto" w:sz="4" w:space="0"/>
              <w:right w:val="single" w:color="auto" w:sz="4" w:space="0"/>
            </w:tcBorders>
            <w:shd w:val="clear" w:color="auto" w:fill="auto"/>
            <w:vAlign w:val="center"/>
          </w:tcPr>
          <w:p w14:paraId="14EEB5A2">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法定代表人或其授权代表现场签字确认</w:t>
            </w:r>
          </w:p>
        </w:tc>
        <w:tc>
          <w:tcPr>
            <w:tcW w:w="695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F9D5757">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0"/>
                <w:szCs w:val="20"/>
                <w:highlight w:val="none"/>
              </w:rPr>
            </w:pPr>
            <w:r>
              <w:rPr>
                <w:rFonts w:hint="eastAsia" w:ascii="宋体" w:hAnsi="宋体" w:eastAsia="宋体" w:cs="宋体"/>
                <w:kern w:val="2"/>
                <w:sz w:val="20"/>
                <w:szCs w:val="20"/>
                <w:highlight w:val="none"/>
                <w:lang w:val="en-US" w:eastAsia="zh-CN" w:bidi="ar"/>
              </w:rPr>
              <w:t>①瓦斯抽采煤孔（不包含封孔、并网）φ113mm煤孔单价为</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元/米（不含税）；②瓦斯抽采岩孔（不包含封孔、并网）φ113mm岩孔单价为</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元/米（不含税）；③瓦斯抽采煤孔（包含封孔、并网、排水、出渣）φ113mm煤孔单价为</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元/米（不含税）；④瓦斯抽采岩孔（包含封孔、并网、排水、出渣）φ113mm岩孔单价为</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元/米（不含税）；⑤取芯钻杆定点取样钻孔φ113mm煤孔单价为</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元/米（不含税）；⑥地面安装工程 企业管理费：</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 利润：</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 组织措施费：</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%；⑦井下安装工程 企业管理费：</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 利润：</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 组织措施费：</w:t>
            </w:r>
            <w:r>
              <w:rPr>
                <w:rFonts w:hint="eastAsia" w:ascii="宋体" w:hAnsi="宋体" w:eastAsia="宋体" w:cs="宋体"/>
                <w:kern w:val="2"/>
                <w:sz w:val="20"/>
                <w:szCs w:val="20"/>
                <w:highlight w:val="none"/>
                <w:u w:val="single"/>
                <w:lang w:val="en-US" w:eastAsia="zh-CN" w:bidi="ar"/>
              </w:rPr>
              <w:t xml:space="preserve">   </w:t>
            </w:r>
            <w:r>
              <w:rPr>
                <w:rFonts w:hint="eastAsia" w:ascii="宋体" w:hAnsi="宋体" w:eastAsia="宋体" w:cs="宋体"/>
                <w:kern w:val="2"/>
                <w:sz w:val="20"/>
                <w:szCs w:val="20"/>
                <w:highlight w:val="none"/>
                <w:lang w:val="en-US" w:eastAsia="zh-CN" w:bidi="ar"/>
              </w:rPr>
              <w:t>%；</w:t>
            </w:r>
          </w:p>
        </w:tc>
      </w:tr>
      <w:tr w14:paraId="5F9F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65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8CC6FDC">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8"/>
                <w:szCs w:val="28"/>
                <w:highlight w:val="none"/>
              </w:rPr>
            </w:pPr>
            <w:r>
              <w:rPr>
                <w:rFonts w:hint="eastAsia" w:ascii="宋体" w:hAnsi="宋体" w:eastAsia="宋体" w:cs="宋体"/>
                <w:kern w:val="2"/>
                <w:sz w:val="24"/>
                <w:szCs w:val="24"/>
                <w:highlight w:val="none"/>
                <w:lang w:val="en-US" w:eastAsia="zh-CN" w:bidi="ar"/>
              </w:rPr>
              <w:t>此报价一览表内内容尽量充实。</w:t>
            </w: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我公司郑重承诺：本次办理寺家庄煤业井下瓦斯抽采钻孔、通风设施、抽放管路及回风整巷工程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2026年2月5日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（单位）的关于寺家庄煤业井下瓦斯抽采钻孔、通风设施、抽放管路及回风整巷工程（工程项目）的谈判文件（电子版），经仔细阅读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2026年2月6日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eastAsia="宋体" w:cs="宋体"/>
          <w:kern w:val="2"/>
          <w:sz w:val="28"/>
          <w:szCs w:val="28"/>
          <w:highlight w:val="none"/>
          <w:lang w:val="en-US" w:eastAsia="zh-CN" w:bidi="ar"/>
        </w:rPr>
        <w:t>寺家庄煤业井下瓦斯抽采钻孔、通风设施、抽放管路及回风整巷工程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bookmarkStart w:id="160" w:name="_GoBack"/>
      <w:bookmarkEnd w:id="160"/>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2026年2月5日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14:textFill>
            <w14:solidFill>
              <w14:schemeClr w14:val="tx1"/>
            </w14:solidFill>
          </w14:textFill>
        </w:rPr>
      </w:pPr>
    </w:p>
    <w:p w14:paraId="6F7FED3C">
      <w:pPr>
        <w:spacing w:line="560" w:lineRule="exact"/>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国标宋体"/>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国标宋体">
    <w:panose1 w:val="02000500000000000000"/>
    <w:charset w:val="86"/>
    <w:family w:val="auto"/>
    <w:pitch w:val="default"/>
    <w:sig w:usb0="00000001" w:usb1="2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仿宋"/>
    <w:panose1 w:val="02010600030101010101"/>
    <w:charset w:val="7A"/>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 w:val="AFE7F49D"/>
    <w:rsid w:val="D7FBBA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43</Pages>
  <Words>18386</Words>
  <Characters>19133</Characters>
  <Lines>1</Lines>
  <Paragraphs>1</Paragraphs>
  <TotalTime>5</TotalTime>
  <ScaleCrop>false</ScaleCrop>
  <LinksUpToDate>false</LinksUpToDate>
  <CharactersWithSpaces>21508</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2019-06-24T20:18:00Z</dcterms:created>
  <dc:creator>Administrator</dc:creator>
  <cp:lastModifiedBy>HUAWEI</cp:lastModifiedBy>
  <cp:lastPrinted>2023-12-20T17:37:00Z</cp:lastPrinted>
  <dcterms:modified xsi:type="dcterms:W3CDTF">2026-04-07T11:28:02Z</dcterms:modified>
  <dc:title>山西潞安工程有限公司竞争性谈判文件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8DE1C39B95594D3E89FE2438D2087360_13</vt:lpwstr>
  </property>
  <property fmtid="{D5CDD505-2E9C-101B-9397-08002B2CF9AE}" pid="4" name="KSOTemplateDocerSaveRecord">
    <vt:lpwstr>eyJoZGlkIjoiOGM3MzFjN2VmYWE3ZjVlZWQwZWRiMzBmNzAzZmVkZjkiLCJ1c2VySWQiOiIzOTUxOTg4NTgifQ==</vt:lpwstr>
  </property>
</Properties>
</file>