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3"/>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LAGCGSKJFGS（L）045</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6"/>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五阳煤矿瓦斯治理工程、顶板岩层水力割缝压裂工程及通风设施施工工程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五阳煤矿瓦斯治理工程、顶板岩层水力割缝压裂工程及通风设施施工工程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范围：8002工作面、8002运输巷、8003运输巷、8005回风巷、8003切眼、7612回采面、7521回采面、7609回采面等工作面瓦斯抽采钻孔施工工程、瓦斯抽采管路安装回撤工程、通风设施构筑工程及瓦斯治理辅助工程等。</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2026年1月</w:t>
      </w:r>
      <w:r>
        <w:rPr>
          <w:rFonts w:hint="eastAsia" w:ascii="宋体" w:hAnsi="宋体" w:cs="宋体"/>
          <w:color w:val="000000" w:themeColor="text1"/>
          <w:sz w:val="24"/>
          <w:szCs w:val="24"/>
          <w:highlight w:val="none"/>
          <w:lang w:val="en-US" w:eastAsia="zh-CN"/>
          <w14:textFill>
            <w14:solidFill>
              <w14:schemeClr w14:val="tx1"/>
            </w14:solidFill>
          </w14:textFill>
        </w:rPr>
        <w:t>10</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25</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350天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349036D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地面安装工程：企业管理费%：20.8利润%11.9组织措施费%5.7②井下安装工程企业管理费%15.9利润%10.7组织措施费%2.5③零星井巷工程：企业管理费%11.3/7.9利润%7.7/5.3组织措施费%0.7/0.5④瓦斯抽采煤孔（队组自带钻机）（不含税）：φ94mm煤孔基价43元/米⑤瓦斯抽采煤孔（发包方提供钻机）（不含税）：φ94mm煤孔基价40元/米⑥水力造穴（不含税）：单孔造穴数量≤9个时单价：队组自带钻机为1872元/个，发包方提供钻机为1733元/个。水力造穴18个＞单孔造穴数量＞9个，瓦斯含量&lt;8m3/t时单价：队组自带钻机为163元/m，发包方提供钻机为151元/m。水力造穴18个＞单孔造穴数量＞9个，瓦斯含量≥8m3/t时单价：队组自带钻机为171元/m，发包方提供钻机为158元/m。单孔造穴数量≥18个，瓦斯含量≥12m3/t时单价：队组自带钻机为239元/m，发包方提供钻机为221元/m。⑦瓦斯抽采管路安装（不含税价）：Φ219mm不锈钢管抽采管路275元/米。Φ426mm不锈钢管抽采管路394元/米。Φ529mm不锈钢管抽采管路465元/米（不含起吊锚杆），Φ529mm不锈钢管抽采管路513元/米（含起吊锚杆）。Φ630mm不锈钢管抽采管路527元/米。Φ630mm复合钢管抽采管路655元/米。Φ820mm不锈钢管抽采管路712元/米。⑧瓦斯抽采管路回撤（不含税价：Φ219mm不锈钢管抽采管路252元/米。Φ426mm不锈钢管抽采管路342元/米。Φ529mm不锈钢管抽采管路437元/米。Φ630mm不锈钢管抽采管路499元/米。Φ630mm复合钢管抽采管路632元/米。Φ820mm不锈钢管抽采管路684元/米。⑧签证工单价（不含规费和税金）井下直接工213元/工日，井下辅助工192元/工日，地面辅助工155元/工日;</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2026年1月9日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000000" w:themeColor="text1"/>
          <w:sz w:val="24"/>
          <w:szCs w:val="24"/>
          <w:highlight w:val="none"/>
          <w:lang w:val="en-US" w:eastAsia="zh-CN"/>
          <w14:textFill>
            <w14:solidFill>
              <w14:schemeClr w14:val="tx1"/>
            </w14:solidFill>
          </w14:textFill>
        </w:rPr>
        <w:t>李伟</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13620653935</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2026年1月8日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1AA7F16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普通瓦斯抽采钻孔、水力造穴钻孔瓦斯管路安装结算单价（不含税）按照双方谈判完成的价格计取。</w:t>
      </w:r>
    </w:p>
    <w:p w14:paraId="6C667E2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安装工程施工组织措施费、企业管理费、利润三项按</w:t>
      </w:r>
      <w:r>
        <w:rPr>
          <w:rFonts w:hint="eastAsia" w:ascii="宋体" w:hAnsi="宋体" w:eastAsia="宋体" w:cs="宋体"/>
          <w:color w:val="000000" w:themeColor="text1"/>
          <w:sz w:val="24"/>
          <w:szCs w:val="24"/>
          <w:highlight w:val="none"/>
          <w:lang w:val="en-US" w:eastAsia="zh-CN"/>
          <w14:textFill>
            <w14:solidFill>
              <w14:schemeClr w14:val="tx1"/>
            </w14:solidFill>
          </w14:textFill>
        </w:rPr>
        <w:t>双方谈判完的费率</w:t>
      </w:r>
      <w:r>
        <w:rPr>
          <w:rFonts w:hint="eastAsia" w:ascii="宋体" w:hAnsi="宋体" w:eastAsia="宋体" w:cs="宋体"/>
          <w:color w:val="000000" w:themeColor="text1"/>
          <w:sz w:val="24"/>
          <w:szCs w:val="24"/>
          <w:highlight w:val="none"/>
          <w:lang w:eastAsia="zh-CN"/>
          <w14:textFill>
            <w14:solidFill>
              <w14:schemeClr w14:val="tx1"/>
            </w14:solidFill>
          </w14:textFill>
        </w:rPr>
        <w:t>计取，总价不下浮。</w:t>
      </w:r>
      <w:r>
        <w:rPr>
          <w:rFonts w:hint="eastAsia" w:ascii="宋体" w:hAnsi="宋体" w:eastAsia="宋体" w:cs="宋体"/>
          <w:color w:val="000000" w:themeColor="text1"/>
          <w:sz w:val="24"/>
          <w:szCs w:val="24"/>
          <w:highlight w:val="none"/>
          <w:lang w:val="en-US" w:eastAsia="zh-CN"/>
          <w14:textFill>
            <w14:solidFill>
              <w14:schemeClr w14:val="tx1"/>
            </w14:solidFill>
          </w14:textFill>
        </w:rPr>
        <w:t>其他签证（矿建）工程双方谈判完的费率</w:t>
      </w:r>
      <w:r>
        <w:rPr>
          <w:rFonts w:hint="eastAsia" w:ascii="宋体" w:hAnsi="宋体" w:eastAsia="宋体" w:cs="宋体"/>
          <w:color w:val="000000" w:themeColor="text1"/>
          <w:sz w:val="24"/>
          <w:szCs w:val="24"/>
          <w:highlight w:val="none"/>
          <w:lang w:eastAsia="zh-CN"/>
          <w14:textFill>
            <w14:solidFill>
              <w14:schemeClr w14:val="tx1"/>
            </w14:solidFill>
          </w14:textFill>
        </w:rPr>
        <w:t>计取</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，工程总造价按税前89%计取。</w:t>
      </w:r>
    </w:p>
    <w:p w14:paraId="42447E9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（3）签证工单价（不含规费和税金）按照</w:t>
      </w:r>
      <w:r>
        <w:rPr>
          <w:rFonts w:hint="eastAsia" w:ascii="宋体" w:hAnsi="宋体" w:eastAsia="宋体" w:cs="宋体"/>
          <w:color w:val="000000" w:themeColor="text1"/>
          <w:sz w:val="24"/>
          <w:szCs w:val="24"/>
          <w:highlight w:val="none"/>
          <w:lang w:val="en-US" w:eastAsia="zh-CN"/>
          <w14:textFill>
            <w14:solidFill>
              <w14:schemeClr w14:val="tx1"/>
            </w14:solidFill>
          </w14:textFill>
        </w:rPr>
        <w:t>双方谈判完成的价格计取。</w:t>
      </w:r>
    </w:p>
    <w:p w14:paraId="4E4D34B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lang w:val="en-US" w:eastAsia="zh-CN"/>
          <w14:textFill>
            <w14:solidFill>
              <w14:schemeClr w14:val="tx1"/>
            </w14:solidFill>
          </w14:textFill>
        </w:rPr>
        <w:t>）规费暂按煤炭工业邯郸工程造价管理站核准的上年度的费率计算。</w:t>
      </w:r>
    </w:p>
    <w:p w14:paraId="18FE5E9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val="en-US" w:eastAsia="zh-CN"/>
          <w14:textFill>
            <w14:solidFill>
              <w14:schemeClr w14:val="tx1"/>
            </w14:solidFill>
          </w14:textFill>
        </w:rPr>
        <w:t>）人工价差按照潞安集团相关文件规定执行。</w:t>
      </w:r>
    </w:p>
    <w:p w14:paraId="6A0354A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lang w:val="en-US" w:eastAsia="zh-CN"/>
          <w14:textFill>
            <w14:solidFill>
              <w14:schemeClr w14:val="tx1"/>
            </w14:solidFill>
          </w14:textFill>
        </w:rPr>
        <w:t>）安全文明施工费属不可竞争性费用，按定额规定计取。</w:t>
      </w:r>
    </w:p>
    <w:p w14:paraId="74D1D4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lang w:val="en-US" w:eastAsia="zh-CN"/>
          <w14:textFill>
            <w14:solidFill>
              <w14:schemeClr w14:val="tx1"/>
            </w14:solidFill>
          </w14:textFill>
        </w:rPr>
        <w:t>）以上工程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1D740DD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3940877"/>
      <w:bookmarkStart w:id="1" w:name="_Toc389602796"/>
      <w:bookmarkStart w:id="2" w:name="_Toc384137522"/>
      <w:bookmarkStart w:id="3" w:name="_Toc389663453"/>
      <w:bookmarkStart w:id="4" w:name="_Toc384026351"/>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51203481"/>
      <w:bookmarkStart w:id="6" w:name="_Toc371493141"/>
      <w:bookmarkStart w:id="7" w:name="_Toc389586296"/>
      <w:bookmarkStart w:id="8" w:name="_Toc389602797"/>
      <w:bookmarkStart w:id="9" w:name="_Toc384137523"/>
      <w:bookmarkStart w:id="10" w:name="_Toc384026352"/>
      <w:bookmarkStart w:id="11" w:name="_Toc389663454"/>
      <w:bookmarkStart w:id="12" w:name="_Toc383940878"/>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137525"/>
      <w:bookmarkStart w:id="14" w:name="_Toc383940880"/>
      <w:bookmarkStart w:id="15" w:name="_Toc384026354"/>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9602800"/>
      <w:bookmarkStart w:id="19" w:name="_Toc389663457"/>
      <w:bookmarkStart w:id="20" w:name="_Toc384137526"/>
      <w:bookmarkStart w:id="21" w:name="_Toc383940881"/>
      <w:bookmarkStart w:id="22" w:name="_Toc384026355"/>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026357"/>
      <w:bookmarkStart w:id="24" w:name="_Toc384137528"/>
      <w:bookmarkStart w:id="25" w:name="_Toc389663459"/>
      <w:bookmarkStart w:id="26" w:name="_Toc389602802"/>
      <w:bookmarkStart w:id="27" w:name="_Toc383940883"/>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3940884"/>
      <w:bookmarkStart w:id="29" w:name="_Toc389602803"/>
      <w:bookmarkStart w:id="30" w:name="_Toc384026358"/>
      <w:bookmarkStart w:id="31" w:name="_Toc384137529"/>
      <w:bookmarkStart w:id="32" w:name="_Toc389663460"/>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02889"/>
      <w:bookmarkStart w:id="34" w:name="_Toc383940993"/>
      <w:bookmarkStart w:id="35" w:name="_Toc384137615"/>
      <w:bookmarkStart w:id="36" w:name="_Toc389663546"/>
      <w:bookmarkStart w:id="37" w:name="_Toc384026467"/>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6"/>
        <w:rPr>
          <w:rFonts w:hint="eastAsia" w:ascii="宋体" w:hAnsi="宋体" w:eastAsia="宋体" w:cs="宋体"/>
          <w:color w:val="000000" w:themeColor="text1"/>
          <w:highlight w:val="none"/>
          <w14:textFill>
            <w14:solidFill>
              <w14:schemeClr w14:val="tx1"/>
            </w14:solidFill>
          </w14:textFill>
        </w:rPr>
      </w:pPr>
    </w:p>
    <w:p w14:paraId="435C512B">
      <w:pPr>
        <w:pStyle w:val="16"/>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9663548"/>
      <w:bookmarkStart w:id="39" w:name="_Toc384054024"/>
      <w:bookmarkStart w:id="40" w:name="_Toc384137617"/>
      <w:bookmarkStart w:id="41" w:name="_Toc389602891"/>
      <w:bookmarkStart w:id="42" w:name="_Toc384026469"/>
      <w:bookmarkStart w:id="43" w:name="_Toc383940995"/>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3940996"/>
      <w:bookmarkStart w:id="55" w:name="_Toc384026470"/>
      <w:bookmarkStart w:id="56" w:name="_Toc384054025"/>
      <w:bookmarkStart w:id="57" w:name="_Toc384137618"/>
      <w:bookmarkStart w:id="58" w:name="_Toc389602897"/>
      <w:bookmarkStart w:id="59" w:name="_Toc389663554"/>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9663557"/>
      <w:bookmarkStart w:id="65" w:name="_Toc384137619"/>
      <w:bookmarkStart w:id="66" w:name="_Toc384026471"/>
      <w:bookmarkStart w:id="67" w:name="_Toc389602900"/>
      <w:bookmarkStart w:id="68" w:name="_Toc384054026"/>
      <w:bookmarkStart w:id="69" w:name="_Toc383940997"/>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9602908"/>
      <w:bookmarkStart w:id="82" w:name="_Toc384137621"/>
      <w:bookmarkStart w:id="83" w:name="_Toc384054028"/>
      <w:bookmarkStart w:id="84" w:name="_Toc389663565"/>
      <w:bookmarkStart w:id="85" w:name="_Toc383940999"/>
      <w:bookmarkStart w:id="86" w:name="_Toc384026473"/>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9663566"/>
      <w:bookmarkStart w:id="89" w:name="_Toc381037618"/>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9"/>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63567"/>
      <w:bookmarkStart w:id="91" w:name="_Toc389602910"/>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7487"/>
      <w:bookmarkStart w:id="95" w:name="_Toc312678013"/>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4054029"/>
      <w:bookmarkStart w:id="100" w:name="_Toc384026474"/>
      <w:bookmarkStart w:id="101" w:name="_Toc384137622"/>
      <w:bookmarkStart w:id="102" w:name="_Toc389663570"/>
      <w:bookmarkStart w:id="103" w:name="_Toc383941000"/>
      <w:bookmarkStart w:id="104" w:name="_Toc389602913"/>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63574"/>
      <w:bookmarkStart w:id="108" w:name="_Toc389602917"/>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26477"/>
      <w:bookmarkStart w:id="110" w:name="_Toc384137625"/>
      <w:bookmarkStart w:id="111" w:name="_Toc383941003"/>
      <w:bookmarkStart w:id="112" w:name="_Toc389663582"/>
      <w:bookmarkStart w:id="113" w:name="_Toc384054032"/>
      <w:bookmarkStart w:id="114" w:name="_Toc389602925"/>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02926"/>
      <w:bookmarkStart w:id="116" w:name="_Toc389663583"/>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137626"/>
      <w:bookmarkStart w:id="118" w:name="_Toc384026478"/>
      <w:bookmarkStart w:id="119" w:name="_Toc384054033"/>
      <w:bookmarkStart w:id="120" w:name="_Toc389602929"/>
      <w:bookmarkStart w:id="121" w:name="_Toc389663585"/>
      <w:bookmarkStart w:id="122" w:name="_Toc383941004"/>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137627"/>
      <w:bookmarkStart w:id="124" w:name="_Toc384026479"/>
      <w:bookmarkStart w:id="125" w:name="_Toc383941005"/>
      <w:bookmarkStart w:id="126" w:name="_Toc384054034"/>
      <w:bookmarkStart w:id="127" w:name="_Toc389663589"/>
      <w:bookmarkStart w:id="128" w:name="_Toc389602932"/>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63591"/>
      <w:bookmarkStart w:id="131" w:name="_Toc389602933"/>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4054035"/>
      <w:bookmarkStart w:id="133" w:name="_Toc389602935"/>
      <w:bookmarkStart w:id="134" w:name="_Toc384137628"/>
      <w:bookmarkStart w:id="135" w:name="_Toc383941006"/>
      <w:bookmarkStart w:id="136" w:name="_Toc389663592"/>
      <w:bookmarkStart w:id="137" w:name="_Toc384026480"/>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26481"/>
      <w:bookmarkStart w:id="141" w:name="_Toc384137629"/>
      <w:bookmarkStart w:id="142" w:name="_Toc383941007"/>
      <w:bookmarkStart w:id="143" w:name="_Toc389602939"/>
      <w:bookmarkStart w:id="144" w:name="_Toc389663596"/>
      <w:bookmarkStart w:id="145" w:name="_Toc384054036"/>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4054039"/>
      <w:bookmarkStart w:id="151" w:name="_Toc383941010"/>
      <w:bookmarkStart w:id="152" w:name="_Toc389602947"/>
      <w:bookmarkStart w:id="153" w:name="_Toc384137632"/>
      <w:bookmarkStart w:id="154" w:name="_Toc384026484"/>
      <w:bookmarkStart w:id="155" w:name="_Toc389663606"/>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6"/>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6"/>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6"/>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6"/>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7"/>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7"/>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4"/>
        <w:rPr>
          <w:rFonts w:hint="eastAsia" w:ascii="宋体" w:hAnsi="宋体" w:eastAsia="宋体" w:cs="宋体"/>
          <w:color w:val="000000" w:themeColor="text1"/>
          <w:highlight w:val="none"/>
          <w14:textFill>
            <w14:solidFill>
              <w14:schemeClr w14:val="tx1"/>
            </w14:solidFill>
          </w14:textFill>
        </w:rPr>
      </w:pPr>
    </w:p>
    <w:p w14:paraId="5F13F9FD">
      <w:pPr>
        <w:pStyle w:val="4"/>
        <w:rPr>
          <w:rFonts w:hint="eastAsia" w:ascii="宋体" w:hAnsi="宋体" w:eastAsia="宋体" w:cs="宋体"/>
          <w:color w:val="000000" w:themeColor="text1"/>
          <w:highlight w:val="none"/>
          <w14:textFill>
            <w14:solidFill>
              <w14:schemeClr w14:val="tx1"/>
            </w14:solidFill>
          </w14:textFill>
        </w:rPr>
      </w:pPr>
    </w:p>
    <w:p w14:paraId="05FE6096">
      <w:pPr>
        <w:pStyle w:val="4"/>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8"/>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3"/>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五阳煤矿瓦斯治理工程、顶板岩层水力割缝压裂工程及通风设施施工工程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LAGCGSKJFGS（L）045</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9"/>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9"/>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8"/>
        <w:tblW w:w="10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9"/>
        <w:gridCol w:w="3145"/>
        <w:gridCol w:w="2601"/>
        <w:gridCol w:w="2604"/>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2" w:hRule="atLeast"/>
          <w:jc w:val="center"/>
        </w:trPr>
        <w:tc>
          <w:tcPr>
            <w:tcW w:w="2049"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8350" w:type="dxa"/>
            <w:gridSpan w:val="3"/>
            <w:noWrap w:val="0"/>
            <w:vAlign w:val="center"/>
          </w:tcPr>
          <w:p w14:paraId="79E297E9">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p>
          <w:p w14:paraId="4FEEA1A6">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③零星井巷工程：企业管理费%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④瓦斯抽采煤孔（队组自带钻机）（不含税）：φ94mm煤孔基价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元/米⑤瓦斯抽采煤孔（发包方提供钻机）（不含税）：φ94mm煤孔基价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元/米⑥水力造穴（不含税）：单孔造穴数量≤9个时单价：队组自带钻机为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元/个，发包方提供钻机为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元/个。水力造穴18个＞单孔造穴数量＞9个，瓦斯含量&lt;8m3/t时单价：队组自带钻机为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元/m。水力造穴18个＞单孔造穴数量＞9个，瓦斯含量≥8m3/t时单价：队组自带钻机为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元/m。单孔造穴数量≥18个，瓦斯含量≥12m3/t时单价：队组自带钻机为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元/m。⑦瓦斯抽采管路安装（不含税价）：Φ219mm不锈钢管抽采管路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元/米。Φ426mm不锈钢管抽采管路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元/米。Φ529mm不锈钢管抽采管路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元/米（不含起吊锚杆），Φ529mm不锈钢管抽采管路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元/米（含起吊锚杆）。Φ630mm不锈钢管抽采管路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元/米。Φ630mm复合钢管抽采管路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元/米。Φ820mm不锈钢管抽采管路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元/米。⑧瓦斯抽采管路回撤（不含税价：Φ219mm不锈钢管抽采管路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元/米。Φ426mm不锈钢管抽采管路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元/米。Φ529mm不锈钢管抽采管路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元/米。Φ630mm不锈钢管抽采管路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元/米。Φ630mm复合钢管抽采管路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元/米。Φ820mm不锈钢管抽采管路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元/米。⑧签证工单价（不含规费和税金）井下直接工</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元/工日，井下辅助工</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元/工日，地面辅助工</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元/工日;</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5" w:hRule="atLeast"/>
          <w:jc w:val="center"/>
        </w:trPr>
        <w:tc>
          <w:tcPr>
            <w:tcW w:w="2049"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8350"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①地面安装工程：企业管理费%：20.8利润%11.9组织措施费%5.7②井下安装工程企业管理费%15.9利润%10.7组织措施费%2.5③零星井巷工程：企业管理费%11.3/7.9利润%7.7/5.3组织措施费%0.7/0.5④瓦斯抽采煤孔（队组自带钻机）（不含税）：φ94mm煤孔基价43元/米⑤瓦斯抽采煤孔（发包方提供钻机）（不含税）：φ94mm煤孔基价40元/米⑥水力造穴（不含税）：单孔造穴数量≤9个时单价：队组自带钻机为1872元/个，发包方提供钻机为1733元/个。水力造穴18个＞单孔造穴数量＞9个，瓦斯含量&lt;8m3/t时单价：队组自带钻机为163元/m，发包方提供钻机为151元/m。水力造穴18个＞单孔造穴数量＞9个，瓦斯含量≥8m3/t时单价：队组自带钻机为171元/m，发包方提供钻机为158元/m。单孔造穴数量≥18个，瓦斯含量≥12m3/t时单价：队组自带钻机为239元/m，发包方提供钻机为221元/m。⑦瓦斯抽采管路安装（不含税价）：Φ219mm不锈钢管抽采管路275元/米。Φ426mm不锈钢管抽采管路394元/米。Φ529mm不锈钢管抽采管路465元/米（不含起吊锚杆），Φ529mm不锈钢管抽采管路513元/米（含起吊锚杆）。Φ630mm不锈钢管抽采管路527元/米。Φ630mm复合钢管抽采管路655元/米。Φ820mm不锈钢管抽采管路712元/米。⑧瓦斯抽采管路回撤（不含税价：Φ219mm不锈钢管抽采管路252元/米。Φ426mm不锈钢管抽采管路342元/米。Φ529mm不锈钢管抽采管路437元/米。Φ630mm不锈钢管抽采管路499元/米。Φ630mm复合钢管抽采管路632元/米。Φ820mm不锈钢管抽采管路684元/米。⑧签证工单价（不含规费和税金）井下直接工213元/工日，井下辅助工192元/工日，地面辅助工155元/工日;</w:t>
            </w:r>
            <w:bookmarkStart w:id="160" w:name="_GoBack"/>
            <w:bookmarkEnd w:id="160"/>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2049"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8350"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2049"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8350"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350天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2049" w:type="dxa"/>
            <w:noWrap w:val="0"/>
            <w:vAlign w:val="center"/>
          </w:tcPr>
          <w:p w14:paraId="6E286339">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3145"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601"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604"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049"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8350"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2" w:hRule="atLeast"/>
          <w:jc w:val="center"/>
        </w:trPr>
        <w:tc>
          <w:tcPr>
            <w:tcW w:w="2049"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8350" w:type="dxa"/>
            <w:gridSpan w:val="3"/>
            <w:shd w:val="clear" w:color="auto" w:fill="auto"/>
            <w:noWrap w:val="0"/>
            <w:vAlign w:val="center"/>
          </w:tcPr>
          <w:p w14:paraId="07D1D492">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p>
          <w:p w14:paraId="191057B5">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③零星井巷工程：企业管理费%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④瓦斯抽采煤孔（队组自带钻机）（不含税）：φ94mm煤孔基价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元/米⑤瓦斯抽采煤孔（发包方提供钻机）（不含税）：φ94mm煤孔基价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元/米⑥水力造穴（不含税）：单孔造穴数量≤9个时单价：队组自带钻机为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元/个，发包方提供钻机为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元/个。水力造穴18个＞单孔造穴数量＞9个，瓦斯含量&lt;8m3/t时单价：队组自带钻机为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元/m。水力造穴18个＞单孔造穴数量＞9个，瓦斯含量≥8m3/t时单价：队组自带钻机为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元/m。单孔造穴数量≥18个，瓦斯含量≥12m3/t时单价：队组自带钻机为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元/m。⑦瓦斯抽采管路安装（不含税价）：Φ219mm不锈钢管抽采管路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元/米。Φ426mm不锈钢管抽采管路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元/米。Φ529mm不锈钢管抽采管路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元/米（不含起吊锚杆），Φ529mm不锈钢管抽采管路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元/米（含起吊锚杆）。Φ630mm不锈钢管抽采管路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元/米。Φ630mm复合钢管抽采管路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元/米。Φ820mm不锈钢管抽采管路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元/米。⑧瓦斯抽采管路回撤（不含税价：Φ219mm不锈钢管抽采管路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元/米。Φ426mm不锈钢管抽采管路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元/米。Φ529mm不锈钢管抽采管路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元/米。Φ630mm不锈钢管抽采管路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元/米。Φ630mm复合钢管抽采管路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元/米。Φ820mm不锈钢管抽采管路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元/米。⑧签证工单价（不含规费和税金）井下直接工</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元/工日，井下辅助工</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元/工日，地面辅助工</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元/工日;</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399"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此报价一览表内内容尽量充实，但不要加附页，单独密封（与报价文件同时递交）</w:t>
            </w:r>
          </w:p>
        </w:tc>
      </w:tr>
    </w:tbl>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highlight w:val="none"/>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3"/>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3"/>
      <w:framePr w:wrap="around" w:vAnchor="text" w:hAnchor="margin" w:xAlign="center" w:y="1"/>
      <w:rPr>
        <w:rStyle w:val="21"/>
      </w:rPr>
    </w:pPr>
    <w:r>
      <w:fldChar w:fldCharType="begin"/>
    </w:r>
    <w:r>
      <w:rPr>
        <w:rStyle w:val="21"/>
      </w:rPr>
      <w:instrText xml:space="preserve">PAGE  </w:instrText>
    </w:r>
    <w:r>
      <w:fldChar w:fldCharType="end"/>
    </w:r>
  </w:p>
  <w:p w14:paraId="65D4A42E">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3"/>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3"/>
      <w:framePr w:wrap="around" w:vAnchor="text" w:hAnchor="margin" w:xAlign="center" w:y="1"/>
      <w:rPr>
        <w:rStyle w:val="21"/>
      </w:rPr>
    </w:pPr>
    <w:r>
      <w:fldChar w:fldCharType="begin"/>
    </w:r>
    <w:r>
      <w:rPr>
        <w:rStyle w:val="21"/>
      </w:rPr>
      <w:instrText xml:space="preserve">PAGE  </w:instrText>
    </w:r>
    <w:r>
      <w:fldChar w:fldCharType="end"/>
    </w:r>
  </w:p>
  <w:p w14:paraId="4C44B9C6">
    <w:pPr>
      <w:pStyle w:val="1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3"/>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179CB"/>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3153F"/>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95BE5"/>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17B3B"/>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0C52CD1"/>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0195D"/>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54345"/>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23242"/>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A148CA"/>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6">
    <w:name w:val="heading 2"/>
    <w:basedOn w:val="1"/>
    <w:next w:val="1"/>
    <w:link w:val="25"/>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7">
    <w:name w:val="heading 3"/>
    <w:basedOn w:val="1"/>
    <w:next w:val="1"/>
    <w:link w:val="48"/>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20">
    <w:name w:val="Default Paragraph Font"/>
    <w:autoRedefine/>
    <w:qFormat/>
    <w:uiPriority w:val="0"/>
    <w:rPr>
      <w:rFonts w:ascii="Times New Roman" w:hAnsi="Times New Roman" w:eastAsia="宋体" w:cs="Times New Roman"/>
      <w:szCs w:val="24"/>
    </w:rPr>
  </w:style>
  <w:style w:type="table" w:default="1" w:styleId="18">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customStyle="1" w:styleId="2">
    <w:name w:val="表格文字"/>
    <w:basedOn w:val="1"/>
    <w:next w:val="3"/>
    <w:autoRedefine/>
    <w:qFormat/>
    <w:uiPriority w:val="0"/>
    <w:pPr>
      <w:spacing w:before="25" w:after="25"/>
      <w:jc w:val="left"/>
    </w:pPr>
    <w:rPr>
      <w:spacing w:val="10"/>
      <w:kern w:val="0"/>
      <w:sz w:val="24"/>
      <w:szCs w:val="24"/>
    </w:rPr>
  </w:style>
  <w:style w:type="paragraph" w:styleId="3">
    <w:name w:val="Body Text"/>
    <w:basedOn w:val="1"/>
    <w:next w:val="4"/>
    <w:link w:val="24"/>
    <w:autoRedefine/>
    <w:qFormat/>
    <w:uiPriority w:val="0"/>
    <w:pPr>
      <w:spacing w:after="120" w:afterLines="0"/>
    </w:pPr>
    <w:rPr>
      <w:rFonts w:ascii="Times New Roman" w:hAnsi="Times New Roman" w:eastAsia="宋体" w:cs="Times New Roman"/>
      <w:sz w:val="32"/>
      <w:szCs w:val="20"/>
    </w:rPr>
  </w:style>
  <w:style w:type="paragraph" w:customStyle="1" w:styleId="4">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8">
    <w:name w:val="Normal Indent"/>
    <w:basedOn w:val="1"/>
    <w:next w:val="1"/>
    <w:autoRedefine/>
    <w:qFormat/>
    <w:uiPriority w:val="0"/>
    <w:pPr>
      <w:ind w:firstLine="420" w:firstLineChars="200"/>
    </w:pPr>
  </w:style>
  <w:style w:type="paragraph" w:styleId="9">
    <w:name w:val="annotation text"/>
    <w:basedOn w:val="1"/>
    <w:link w:val="27"/>
    <w:autoRedefine/>
    <w:qFormat/>
    <w:uiPriority w:val="0"/>
    <w:pPr>
      <w:jc w:val="left"/>
    </w:pPr>
    <w:rPr>
      <w:rFonts w:ascii="Times New Roman" w:hAnsi="Times New Roman" w:eastAsia="宋体" w:cs="Times New Roman"/>
      <w:szCs w:val="24"/>
    </w:rPr>
  </w:style>
  <w:style w:type="paragraph" w:styleId="10">
    <w:name w:val="Body Text Indent"/>
    <w:basedOn w:val="1"/>
    <w:autoRedefine/>
    <w:qFormat/>
    <w:uiPriority w:val="0"/>
    <w:pPr>
      <w:spacing w:line="320" w:lineRule="exact"/>
      <w:ind w:firstLine="570"/>
    </w:pPr>
    <w:rPr>
      <w:rFonts w:ascii="宋体"/>
      <w:szCs w:val="20"/>
    </w:rPr>
  </w:style>
  <w:style w:type="paragraph" w:styleId="11">
    <w:name w:val="Plain Text"/>
    <w:basedOn w:val="1"/>
    <w:link w:val="28"/>
    <w:autoRedefine/>
    <w:qFormat/>
    <w:uiPriority w:val="0"/>
    <w:rPr>
      <w:rFonts w:ascii="宋体" w:hAnsi="Courier New" w:eastAsia="宋体" w:cs="Times New Roman"/>
      <w:szCs w:val="21"/>
    </w:rPr>
  </w:style>
  <w:style w:type="paragraph" w:styleId="12">
    <w:name w:val="Balloon Text"/>
    <w:basedOn w:val="1"/>
    <w:autoRedefine/>
    <w:qFormat/>
    <w:uiPriority w:val="0"/>
    <w:rPr>
      <w:rFonts w:ascii="Times New Roman" w:hAnsi="Times New Roman" w:eastAsia="宋体" w:cs="Times New Roman"/>
      <w:sz w:val="18"/>
      <w:szCs w:val="18"/>
    </w:rPr>
  </w:style>
  <w:style w:type="paragraph" w:styleId="13">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5">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6">
    <w:name w:val="Body Text First Indent"/>
    <w:basedOn w:val="3"/>
    <w:autoRedefine/>
    <w:qFormat/>
    <w:uiPriority w:val="0"/>
    <w:pPr>
      <w:ind w:firstLine="420" w:firstLineChars="100"/>
    </w:pPr>
    <w:rPr>
      <w:rFonts w:ascii="Times New Roman" w:hAnsi="Times New Roman" w:eastAsia="宋体" w:cs="Times New Roman"/>
      <w:sz w:val="21"/>
      <w:szCs w:val="24"/>
    </w:rPr>
  </w:style>
  <w:style w:type="paragraph" w:styleId="17">
    <w:name w:val="Body Text First Indent 2"/>
    <w:basedOn w:val="10"/>
    <w:autoRedefine/>
    <w:qFormat/>
    <w:uiPriority w:val="0"/>
    <w:pPr>
      <w:ind w:firstLine="200" w:firstLineChars="200"/>
    </w:pPr>
  </w:style>
  <w:style w:type="table" w:styleId="19">
    <w:name w:val="Table Grid"/>
    <w:basedOn w:val="1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rPr>
      <w:rFonts w:ascii="Times New Roman" w:hAnsi="Times New Roman" w:eastAsia="宋体" w:cs="Times New Roman"/>
    </w:rPr>
  </w:style>
  <w:style w:type="character" w:styleId="22">
    <w:name w:val="FollowedHyperlink"/>
    <w:autoRedefine/>
    <w:qFormat/>
    <w:uiPriority w:val="0"/>
    <w:rPr>
      <w:rFonts w:ascii="Times New Roman" w:hAnsi="Times New Roman" w:eastAsia="宋体" w:cs="Times New Roman"/>
      <w:color w:val="954F72"/>
      <w:szCs w:val="24"/>
      <w:u w:val="single"/>
    </w:rPr>
  </w:style>
  <w:style w:type="character" w:styleId="23">
    <w:name w:val="Hyperlink"/>
    <w:autoRedefine/>
    <w:qFormat/>
    <w:uiPriority w:val="0"/>
    <w:rPr>
      <w:rFonts w:ascii="Times New Roman" w:hAnsi="Times New Roman" w:eastAsia="宋体" w:cs="Times New Roman"/>
      <w:color w:val="0000FF"/>
      <w:szCs w:val="24"/>
      <w:u w:val="single"/>
    </w:rPr>
  </w:style>
  <w:style w:type="character" w:customStyle="1" w:styleId="24">
    <w:name w:val="正文文本 字符"/>
    <w:link w:val="3"/>
    <w:autoRedefine/>
    <w:qFormat/>
    <w:uiPriority w:val="0"/>
    <w:rPr>
      <w:rFonts w:ascii="Times New Roman" w:hAnsi="Times New Roman" w:eastAsia="宋体" w:cs="Times New Roman"/>
      <w:kern w:val="2"/>
      <w:sz w:val="32"/>
    </w:rPr>
  </w:style>
  <w:style w:type="character" w:customStyle="1" w:styleId="25">
    <w:name w:val="标题 2 字符"/>
    <w:link w:val="6"/>
    <w:autoRedefine/>
    <w:qFormat/>
    <w:uiPriority w:val="0"/>
    <w:rPr>
      <w:rFonts w:ascii="宋体" w:hAnsi="宋体" w:eastAsia="宋体" w:cs="Times New Roman"/>
      <w:b/>
      <w:bCs/>
      <w:kern w:val="2"/>
      <w:sz w:val="28"/>
      <w:szCs w:val="32"/>
    </w:rPr>
  </w:style>
  <w:style w:type="character" w:customStyle="1" w:styleId="26">
    <w:name w:val="标题 3 字符"/>
    <w:link w:val="7"/>
    <w:autoRedefine/>
    <w:qFormat/>
    <w:uiPriority w:val="0"/>
    <w:rPr>
      <w:rFonts w:ascii="Times New Roman" w:hAnsi="Times New Roman" w:eastAsia="宋体" w:cs="Times New Roman"/>
      <w:b/>
      <w:bCs/>
      <w:kern w:val="2"/>
      <w:sz w:val="32"/>
      <w:szCs w:val="32"/>
    </w:rPr>
  </w:style>
  <w:style w:type="character" w:customStyle="1" w:styleId="27">
    <w:name w:val="批注文字 字符"/>
    <w:link w:val="9"/>
    <w:autoRedefine/>
    <w:qFormat/>
    <w:uiPriority w:val="0"/>
    <w:rPr>
      <w:rFonts w:ascii="Times New Roman" w:hAnsi="Times New Roman" w:eastAsia="宋体" w:cs="Times New Roman"/>
      <w:kern w:val="2"/>
      <w:sz w:val="21"/>
      <w:szCs w:val="24"/>
    </w:rPr>
  </w:style>
  <w:style w:type="character" w:customStyle="1" w:styleId="28">
    <w:name w:val="纯文本 字符"/>
    <w:link w:val="11"/>
    <w:autoRedefine/>
    <w:qFormat/>
    <w:uiPriority w:val="0"/>
    <w:rPr>
      <w:rFonts w:ascii="宋体" w:hAnsi="Courier New" w:eastAsia="宋体" w:cs="Courier New"/>
      <w:kern w:val="2"/>
      <w:sz w:val="21"/>
      <w:szCs w:val="21"/>
    </w:rPr>
  </w:style>
  <w:style w:type="character" w:customStyle="1" w:styleId="29">
    <w:name w:val="纯文本 Char1"/>
    <w:autoRedefine/>
    <w:qFormat/>
    <w:uiPriority w:val="0"/>
    <w:rPr>
      <w:rFonts w:ascii="宋体" w:hAnsi="Courier New" w:eastAsia="宋体" w:cs="Courier New"/>
      <w:kern w:val="2"/>
      <w:sz w:val="21"/>
      <w:szCs w:val="21"/>
    </w:rPr>
  </w:style>
  <w:style w:type="character" w:customStyle="1" w:styleId="30">
    <w:name w:val="批注文字 Char1"/>
    <w:autoRedefine/>
    <w:qFormat/>
    <w:uiPriority w:val="0"/>
    <w:rPr>
      <w:rFonts w:ascii="Times New Roman" w:hAnsi="Times New Roman" w:eastAsia="宋体" w:cs="Times New Roman"/>
      <w:kern w:val="2"/>
      <w:sz w:val="21"/>
      <w:szCs w:val="24"/>
    </w:rPr>
  </w:style>
  <w:style w:type="character" w:customStyle="1" w:styleId="31">
    <w:name w:val=" Char Char"/>
    <w:autoRedefine/>
    <w:qFormat/>
    <w:uiPriority w:val="0"/>
    <w:rPr>
      <w:rFonts w:ascii="宋体" w:hAnsi="Courier New" w:eastAsia="宋体" w:cs="Courier New"/>
      <w:kern w:val="2"/>
      <w:sz w:val="21"/>
      <w:szCs w:val="21"/>
    </w:rPr>
  </w:style>
  <w:style w:type="paragraph" w:customStyle="1" w:styleId="32">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3">
    <w:name w:val="Char Char Char Char Char Char Char"/>
    <w:basedOn w:val="1"/>
    <w:autoRedefine/>
    <w:qFormat/>
    <w:uiPriority w:val="0"/>
    <w:rPr>
      <w:rFonts w:ascii="Times New Roman" w:hAnsi="Times New Roman" w:eastAsia="宋体" w:cs="Times New Roman"/>
      <w:szCs w:val="24"/>
    </w:rPr>
  </w:style>
  <w:style w:type="paragraph" w:customStyle="1" w:styleId="34">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6">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7">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8">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9">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0">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1">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2">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3">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4">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5">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6">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7">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8">
    <w:name w:val="标题 3 Char"/>
    <w:link w:val="7"/>
    <w:autoRedefine/>
    <w:qFormat/>
    <w:uiPriority w:val="0"/>
    <w:rPr>
      <w:rFonts w:ascii="宋体" w:hAnsi="宋体"/>
      <w:b/>
      <w:bCs/>
      <w:kern w:val="2"/>
      <w:sz w:val="24"/>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41</Pages>
  <Words>2964</Words>
  <Characters>3369</Characters>
  <Lines>173</Lines>
  <Paragraphs>48</Paragraphs>
  <TotalTime>3</TotalTime>
  <ScaleCrop>false</ScaleCrop>
  <LinksUpToDate>false</LinksUpToDate>
  <CharactersWithSpaces>3692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2026-03-16T02:17:20Z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CF57EA0E0AB347949929D0807AD7A72B_13</vt:lpwstr>
  </property>
  <property fmtid="{D5CDD505-2E9C-101B-9397-08002B2CF9AE}" pid="4" name="KSOTemplateDocerSaveRecord">
    <vt:lpwstr>eyJoZGlkIjoiOGM3MzFjN2VmYWE3ZjVlZWQwZWRiMzBmNzAzZmVkZjkiLCJ1c2VySWQiOiIzOTUxOTg4NTgifQ==</vt:lpwstr>
  </property>
</Properties>
</file>