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1563D1B8">
      <w:pPr>
        <w:pStyle w:val="3"/>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LAGCGSKJFGS（L）041</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6"/>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五阳煤矿井下巷道掘进及维修工程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五阳煤矿井下巷道掘进及维修工程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五阳煤矿井下巷道掘进及维修工程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8000底抽巷喷浆等巷道掘进及巷道修复工程，零星用工等</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①井巷及附属工程：企业管理费%11.3/7.9 利润%7.7/5.3 组织措施费%0.7/0.5 ②地面安装工程：企业管理费%20.8利润%11.9组织措施费%5.7③井下安装工程：企业管理费%15.9利润%10.7组织措施费%2.5④超前探、抽采钻孔（队组自带钻机）：φ94mm煤孔基价43元/米（不含税）⑤超前探、抽采钻孔（发包方提供钻机）：φ94mm煤孔基价40元/米（不含税）⑥签证工单价（不含规费和税金）井下直接工213元/工日，井下辅助工192元/工日，地面辅助工155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w:t>
      </w:r>
      <w:r>
        <w:rPr>
          <w:rFonts w:hint="eastAsia" w:ascii="宋体" w:hAnsi="宋体" w:cs="宋体"/>
          <w:color w:val="000000" w:themeColor="text1"/>
          <w:sz w:val="24"/>
          <w:szCs w:val="24"/>
          <w:highlight w:val="none"/>
          <w:u w:val="single"/>
          <w:lang w:val="en-US" w:eastAsia="zh-CN"/>
          <w14:textFill>
            <w14:solidFill>
              <w14:schemeClr w14:val="tx1"/>
            </w14:solidFill>
          </w14:textFill>
        </w:rPr>
        <w:t>9日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李伟</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13620653935</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0F779C5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工程价款按规定的工程造价计算程序计算，</w:t>
      </w:r>
      <w:r>
        <w:rPr>
          <w:rFonts w:hint="eastAsia" w:ascii="宋体" w:hAnsi="宋体" w:eastAsia="宋体" w:cs="宋体"/>
          <w:color w:val="000000" w:themeColor="text1"/>
          <w:sz w:val="24"/>
          <w:szCs w:val="24"/>
          <w:highlight w:val="none"/>
          <w:lang w:val="en-US" w:eastAsia="zh-CN"/>
          <w14:textFill>
            <w14:solidFill>
              <w14:schemeClr w14:val="tx1"/>
            </w14:solidFill>
          </w14:textFill>
        </w:rPr>
        <w:t>掘进工程、</w:t>
      </w:r>
      <w:r>
        <w:rPr>
          <w:rFonts w:hint="eastAsia" w:ascii="宋体" w:hAnsi="宋体" w:eastAsia="宋体" w:cs="宋体"/>
          <w:color w:val="000000" w:themeColor="text1"/>
          <w:sz w:val="24"/>
          <w:szCs w:val="24"/>
          <w:highlight w:val="none"/>
          <w:lang w:eastAsia="zh-CN"/>
          <w14:textFill>
            <w14:solidFill>
              <w14:schemeClr w14:val="tx1"/>
            </w14:solidFill>
          </w14:textFill>
        </w:rPr>
        <w:t>安装工程三项费率按双方谈判完成的费率计取；总造价不下浮。</w:t>
      </w:r>
    </w:p>
    <w:p w14:paraId="3F6D55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如采用自带掘进机、皮带等设备进行拉底扩帮施工作业时，三项费率按</w:t>
      </w:r>
      <w:r>
        <w:rPr>
          <w:rFonts w:hint="eastAsia" w:ascii="宋体" w:hAnsi="宋体" w:eastAsia="宋体" w:cs="宋体"/>
          <w:color w:val="000000" w:themeColor="text1"/>
          <w:sz w:val="24"/>
          <w:szCs w:val="24"/>
          <w:highlight w:val="none"/>
          <w:lang w:val="en-US" w:eastAsia="zh-CN"/>
          <w14:textFill>
            <w14:solidFill>
              <w14:schemeClr w14:val="tx1"/>
            </w14:solidFill>
          </w14:textFill>
        </w:rPr>
        <w:t>上述</w:t>
      </w:r>
      <w:r>
        <w:rPr>
          <w:rFonts w:hint="eastAsia" w:ascii="宋体" w:hAnsi="宋体" w:eastAsia="宋体" w:cs="宋体"/>
          <w:color w:val="000000" w:themeColor="text1"/>
          <w:sz w:val="24"/>
          <w:szCs w:val="24"/>
          <w:highlight w:val="none"/>
          <w:lang w:eastAsia="zh-CN"/>
          <w14:textFill>
            <w14:solidFill>
              <w14:schemeClr w14:val="tx1"/>
            </w14:solidFill>
          </w14:textFill>
        </w:rPr>
        <w:t>费率计取，总价不下浮。</w:t>
      </w:r>
    </w:p>
    <w:p w14:paraId="227B05A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井巷工程辅助费：施工单位辅助费按照定额标准的4</w:t>
      </w: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%计取。当施工单位负责本巷道开口以外矿方带式输送机的运行、维护、清淤等作业，带式输送机≤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每增加一部带式输送机辅助费按1%调增，带式输送机＞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施工单位按相应定额子目计取机械费中检修费、维护费；当施工单位负责本巷道开口以外自购带式输送机的运行、维护、清淤等作业，带式输送机≤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每增加一部带式输送机辅助费按3%调增，带式输送机＞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施工单位按相应定额子目计取机械费中折旧费、检修费、维护费。</w:t>
      </w:r>
    </w:p>
    <w:p w14:paraId="6172DA7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其他签证工程</w:t>
      </w:r>
    </w:p>
    <w:p w14:paraId="6A547C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其他签证工程三项费率按</w:t>
      </w:r>
      <w:r>
        <w:rPr>
          <w:rFonts w:hint="eastAsia" w:ascii="宋体" w:hAnsi="宋体" w:eastAsia="宋体" w:cs="宋体"/>
          <w:color w:val="000000" w:themeColor="text1"/>
          <w:sz w:val="24"/>
          <w:szCs w:val="24"/>
          <w:highlight w:val="none"/>
          <w:lang w:val="en-US" w:eastAsia="zh-CN"/>
          <w14:textFill>
            <w14:solidFill>
              <w14:schemeClr w14:val="tx1"/>
            </w14:solidFill>
          </w14:textFill>
        </w:rPr>
        <w:t>上述掘进</w:t>
      </w:r>
      <w:r>
        <w:rPr>
          <w:rFonts w:hint="eastAsia" w:ascii="宋体" w:hAnsi="宋体" w:eastAsia="宋体" w:cs="宋体"/>
          <w:color w:val="000000" w:themeColor="text1"/>
          <w:sz w:val="24"/>
          <w:szCs w:val="24"/>
          <w:highlight w:val="none"/>
          <w:lang w:eastAsia="zh-CN"/>
          <w14:textFill>
            <w14:solidFill>
              <w14:schemeClr w14:val="tx1"/>
            </w14:solidFill>
          </w14:textFill>
        </w:rPr>
        <w:t>费率计取，工程总造价按税前89%计取。</w:t>
      </w:r>
    </w:p>
    <w:p w14:paraId="306B4D5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施工单位主要使用矿方辅助系统时，涉及使用的辅助系统设备如移变、开关、电缆等由矿方免费提供，辅助费按定额标准的13%计取。施工单位使用自购带式输送机、刮板输送机等设备施工时，辅助费按定额标准的</w:t>
      </w:r>
      <w:r>
        <w:rPr>
          <w:rFonts w:hint="eastAsia" w:ascii="宋体" w:hAnsi="宋体" w:eastAsia="宋体" w:cs="宋体"/>
          <w:color w:val="000000" w:themeColor="text1"/>
          <w:sz w:val="24"/>
          <w:szCs w:val="24"/>
          <w:highlight w:val="none"/>
          <w:lang w:val="en-US" w:eastAsia="zh-CN"/>
          <w14:textFill>
            <w14:solidFill>
              <w14:schemeClr w14:val="tx1"/>
            </w14:solidFill>
          </w14:textFill>
        </w:rPr>
        <w:t>35</w:t>
      </w:r>
      <w:r>
        <w:rPr>
          <w:rFonts w:hint="eastAsia" w:ascii="宋体" w:hAnsi="宋体" w:eastAsia="宋体" w:cs="宋体"/>
          <w:color w:val="000000" w:themeColor="text1"/>
          <w:sz w:val="24"/>
          <w:szCs w:val="24"/>
          <w:highlight w:val="none"/>
          <w:lang w:eastAsia="zh-CN"/>
          <w14:textFill>
            <w14:solidFill>
              <w14:schemeClr w14:val="tx1"/>
            </w14:solidFill>
          </w14:textFill>
        </w:rPr>
        <w:t>%计取。当施工单位负责施工区域以外矿方带式输送机、刮板输送机的运行、维护、清淤等作业，带式输送机、刮板输送机≤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每增加一部带式输送机、刮板输送机辅助费按1%调增，带式输送机、刮板输送机＞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施工单位按相应定额子目计取机械费中检修费、维护费；当施工单位负责施工区域以外自购带式输送机、刮板输送机的运行、维护、清淤等作业，带式输送机、刮板输送机≤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每增加一部带式输送机、刮板输送机辅助费按3%调增，带式输送机、刮板输送机＞</w:t>
      </w:r>
      <w:r>
        <w:rPr>
          <w:rFonts w:hint="eastAsia" w:ascii="宋体" w:hAnsi="宋体" w:eastAsia="宋体" w:cs="宋体"/>
          <w:color w:val="000000" w:themeColor="text1"/>
          <w:sz w:val="24"/>
          <w:szCs w:val="24"/>
          <w:highlight w:val="none"/>
          <w:lang w:val="en-US" w:eastAsia="zh-CN"/>
          <w14:textFill>
            <w14:solidFill>
              <w14:schemeClr w14:val="tx1"/>
            </w14:solidFill>
          </w14:textFill>
        </w:rPr>
        <w:t>2部时，</w:t>
      </w:r>
      <w:r>
        <w:rPr>
          <w:rFonts w:hint="eastAsia" w:ascii="宋体" w:hAnsi="宋体" w:eastAsia="宋体" w:cs="宋体"/>
          <w:color w:val="000000" w:themeColor="text1"/>
          <w:sz w:val="24"/>
          <w:szCs w:val="24"/>
          <w:highlight w:val="none"/>
          <w:lang w:eastAsia="zh-CN"/>
          <w14:textFill>
            <w14:solidFill>
              <w14:schemeClr w14:val="tx1"/>
            </w14:solidFill>
          </w14:textFill>
        </w:rPr>
        <w:t>施工单位按相应定额子目计取机械费中折旧费、检修费、维护费。</w:t>
      </w:r>
    </w:p>
    <w:p w14:paraId="2999F67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人工背运材料按相应井巷工程定额的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07B8CE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清挖水仓按相应井巷工程定额的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，水仓清挖时如发生二次翻矸，同样按相应井巷工程定额的</w:t>
      </w:r>
      <w:r>
        <w:rPr>
          <w:rFonts w:hint="eastAsia" w:ascii="宋体" w:hAnsi="宋体" w:eastAsia="宋体" w:cs="宋体"/>
          <w:color w:val="000000" w:themeColor="text1"/>
          <w:sz w:val="24"/>
          <w:szCs w:val="24"/>
          <w:highlight w:val="none"/>
          <w:lang w:val="en-US" w:eastAsia="zh-CN"/>
          <w14:textFill>
            <w14:solidFill>
              <w14:schemeClr w14:val="tx1"/>
            </w14:solidFill>
          </w14:textFill>
        </w:rPr>
        <w:t>63%计取</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64DAB85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、掘进工程及其他签证工程直接费中机械费：</w:t>
      </w:r>
    </w:p>
    <w:p w14:paraId="7123D2B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结算时施工单位计取机械费中人工费、折旧费、检修费、维护费和安拆及场外运费，掘进机配套用的电机、减速机、悬臂段、油泵、截割头等部件损坏更换及油脂油管由施工单位自行采购。</w:t>
      </w:r>
    </w:p>
    <w:p w14:paraId="4776FA9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巷道施工所需的风镐、锚杆钻机等设备及日常维护所需的配件、施工所用工器具均由施工单位负责采购。结算时施工单位计取机械费中人工费、折旧费、检修费、维护费和安拆及场外运费。</w:t>
      </w:r>
    </w:p>
    <w:p w14:paraId="417A414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4、规费暂按煤炭工业邯郸工程造价管理站核准的上年度的费率计算。</w:t>
      </w:r>
    </w:p>
    <w:p w14:paraId="6A0354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5、安全文明施工费属不可竞争性费用，按定额规定计取。</w:t>
      </w:r>
    </w:p>
    <w:p w14:paraId="6DF76D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6、人工调差按集团公司最新文件执行。</w:t>
      </w:r>
    </w:p>
    <w:p w14:paraId="1428817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7、签证工单价（不含规费和税金）按照</w:t>
      </w:r>
      <w:r>
        <w:rPr>
          <w:rFonts w:hint="eastAsia" w:ascii="宋体" w:hAnsi="宋体" w:eastAsia="宋体" w:cs="宋体"/>
          <w:color w:val="000000" w:themeColor="text1"/>
          <w:sz w:val="24"/>
          <w:szCs w:val="24"/>
          <w:highlight w:val="none"/>
          <w:lang w:eastAsia="zh-CN"/>
          <w14:textFill>
            <w14:solidFill>
              <w14:schemeClr w14:val="tx1"/>
            </w14:solidFill>
          </w14:textFill>
        </w:rPr>
        <w:t>双方谈判完成的</w:t>
      </w:r>
      <w:r>
        <w:rPr>
          <w:rFonts w:hint="eastAsia" w:ascii="宋体" w:hAnsi="宋体" w:eastAsia="宋体" w:cs="宋体"/>
          <w:color w:val="000000" w:themeColor="text1"/>
          <w:sz w:val="24"/>
          <w:szCs w:val="24"/>
          <w:highlight w:val="non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lang w:eastAsia="zh-CN"/>
          <w14:textFill>
            <w14:solidFill>
              <w14:schemeClr w14:val="tx1"/>
            </w14:solidFill>
          </w14:textFill>
        </w:rPr>
        <w:t>计取。</w:t>
      </w:r>
    </w:p>
    <w:p w14:paraId="55EA13B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超前探、抽采钻孔工程依据实测验收的钻孔（以孔径￠94mm的钻孔标准）进尺为结算依据，结算基价X(φ94mm煤孔单价)按双方谈判完成的价格（不含税）计取，结算时根据钻孔瓦斯含量取相对应系数（瓦斯含量＜8m3/t取1.05系数，8≤瓦斯含量＜12m3/t取1.1系数，瓦斯含量≥12 m3/t取1.15系数）*基价进行结算；岩孔单价（以孔径￠94mm的钻孔标准）按煤孔基价的2倍计算；非标准孔径换算为￠94mm的标准钻孔（结算单价=X*D/94（元/米），其中（X表示￠94mm钻孔单价，D表示其它孔径钻孔直径）。</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63453"/>
      <w:bookmarkStart w:id="2" w:name="_Toc384026351"/>
      <w:bookmarkStart w:id="3" w:name="_Toc389602796"/>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51203481"/>
      <w:bookmarkStart w:id="7" w:name="_Toc371493141"/>
      <w:bookmarkStart w:id="8" w:name="_Toc384026352"/>
      <w:bookmarkStart w:id="9" w:name="_Toc383940878"/>
      <w:bookmarkStart w:id="10" w:name="_Toc389663454"/>
      <w:bookmarkStart w:id="11" w:name="_Toc389602797"/>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4137526"/>
      <w:bookmarkStart w:id="20" w:name="_Toc389602800"/>
      <w:bookmarkStart w:id="21" w:name="_Toc384026355"/>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3940883"/>
      <w:bookmarkStart w:id="25" w:name="_Toc384026357"/>
      <w:bookmarkStart w:id="26" w:name="_Toc389602802"/>
      <w:bookmarkStart w:id="27" w:name="_Toc389663459"/>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02803"/>
      <w:bookmarkStart w:id="29" w:name="_Toc384137529"/>
      <w:bookmarkStart w:id="30" w:name="_Toc384026358"/>
      <w:bookmarkStart w:id="31" w:name="_Toc383940884"/>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3940993"/>
      <w:bookmarkStart w:id="35" w:name="_Toc384026467"/>
      <w:bookmarkStart w:id="36" w:name="_Toc389602889"/>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6"/>
        <w:rPr>
          <w:rFonts w:hint="eastAsia" w:ascii="宋体" w:hAnsi="宋体" w:eastAsia="宋体" w:cs="宋体"/>
          <w:color w:val="000000" w:themeColor="text1"/>
          <w:highlight w:val="none"/>
          <w14:textFill>
            <w14:solidFill>
              <w14:schemeClr w14:val="tx1"/>
            </w14:solidFill>
          </w14:textFill>
        </w:rPr>
      </w:pPr>
    </w:p>
    <w:p w14:paraId="435C512B">
      <w:pPr>
        <w:pStyle w:val="16"/>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9602891"/>
      <w:bookmarkStart w:id="40" w:name="_Toc389663548"/>
      <w:bookmarkStart w:id="41" w:name="_Toc384054024"/>
      <w:bookmarkStart w:id="42" w:name="_Toc383940995"/>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26470"/>
      <w:bookmarkStart w:id="55" w:name="_Toc384054025"/>
      <w:bookmarkStart w:id="56" w:name="_Toc389663554"/>
      <w:bookmarkStart w:id="57" w:name="_Toc389602897"/>
      <w:bookmarkStart w:id="58" w:name="_Toc383940996"/>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4137619"/>
      <w:bookmarkStart w:id="66" w:name="_Toc389663557"/>
      <w:bookmarkStart w:id="67" w:name="_Toc384054026"/>
      <w:bookmarkStart w:id="68" w:name="_Toc384026471"/>
      <w:bookmarkStart w:id="69" w:name="_Toc389602900"/>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26473"/>
      <w:bookmarkStart w:id="82" w:name="_Toc389602908"/>
      <w:bookmarkStart w:id="83" w:name="_Toc383940999"/>
      <w:bookmarkStart w:id="84" w:name="_Toc384137621"/>
      <w:bookmarkStart w:id="85" w:name="_Toc384054028"/>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9"/>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137622"/>
      <w:bookmarkStart w:id="100" w:name="_Toc389602913"/>
      <w:bookmarkStart w:id="101" w:name="_Toc389663570"/>
      <w:bookmarkStart w:id="102" w:name="_Toc384054029"/>
      <w:bookmarkStart w:id="103" w:name="_Toc384026474"/>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3941003"/>
      <w:bookmarkStart w:id="110" w:name="_Toc384137625"/>
      <w:bookmarkStart w:id="111" w:name="_Toc389663582"/>
      <w:bookmarkStart w:id="112" w:name="_Toc384026477"/>
      <w:bookmarkStart w:id="113" w:name="_Toc38405403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9602929"/>
      <w:bookmarkStart w:id="119" w:name="_Toc383941004"/>
      <w:bookmarkStart w:id="120" w:name="_Toc389663585"/>
      <w:bookmarkStart w:id="121" w:name="_Toc384054033"/>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54034"/>
      <w:bookmarkStart w:id="124" w:name="_Toc389602932"/>
      <w:bookmarkStart w:id="125" w:name="_Toc384137627"/>
      <w:bookmarkStart w:id="126" w:name="_Toc389663589"/>
      <w:bookmarkStart w:id="127" w:name="_Toc383941005"/>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3941006"/>
      <w:bookmarkStart w:id="134" w:name="_Toc384026480"/>
      <w:bookmarkStart w:id="135" w:name="_Toc384137628"/>
      <w:bookmarkStart w:id="136" w:name="_Toc389602935"/>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3941007"/>
      <w:bookmarkStart w:id="141" w:name="_Toc389663596"/>
      <w:bookmarkStart w:id="142" w:name="_Toc384137629"/>
      <w:bookmarkStart w:id="143" w:name="_Toc384054036"/>
      <w:bookmarkStart w:id="144" w:name="_Toc38960293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63606"/>
      <w:bookmarkStart w:id="151" w:name="_Toc384054039"/>
      <w:bookmarkStart w:id="152" w:name="_Toc384137632"/>
      <w:bookmarkStart w:id="153" w:name="_Toc384026484"/>
      <w:bookmarkStart w:id="154" w:name="_Toc389602947"/>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6"/>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6"/>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5"/>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6"/>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7"/>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7"/>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4"/>
        <w:rPr>
          <w:rFonts w:hint="eastAsia" w:ascii="宋体" w:hAnsi="宋体" w:eastAsia="宋体" w:cs="宋体"/>
          <w:color w:val="000000" w:themeColor="text1"/>
          <w:highlight w:val="none"/>
          <w14:textFill>
            <w14:solidFill>
              <w14:schemeClr w14:val="tx1"/>
            </w14:solidFill>
          </w14:textFill>
        </w:rPr>
      </w:pPr>
    </w:p>
    <w:p w14:paraId="5F13F9FD">
      <w:pPr>
        <w:pStyle w:val="4"/>
        <w:rPr>
          <w:rFonts w:hint="eastAsia" w:ascii="宋体" w:hAnsi="宋体" w:eastAsia="宋体" w:cs="宋体"/>
          <w:color w:val="000000" w:themeColor="text1"/>
          <w:highlight w:val="none"/>
          <w14:textFill>
            <w14:solidFill>
              <w14:schemeClr w14:val="tx1"/>
            </w14:solidFill>
          </w14:textFill>
        </w:rPr>
      </w:pPr>
    </w:p>
    <w:p w14:paraId="05FE6096">
      <w:pPr>
        <w:pStyle w:val="4"/>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3"/>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五阳煤矿井下巷道掘进及维修工程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LAGCGSKJFGS（L）041</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五阳煤矿井下巷道掘进及维修工程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9"/>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8"/>
        <w:tblW w:w="89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2722"/>
        <w:gridCol w:w="2251"/>
        <w:gridCol w:w="2252"/>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1774"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225"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①井巷及附属工程：企业管理费%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 xml:space="preserve"> ②地面安装工程：企业管理费%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③井下安装工程：企业管理费%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④超前探、抽采钻孔（队组自带钻机）：φ94mm煤孔基价</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元/米（不含税）⑤超前探、抽采钻孔（发包方提供钻机）：φ94mm煤孔基价</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元/米（不含税）⑥签证工单价（不含规费和税金）井下直接工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1774"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225"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①井巷及附属工程：企业管理费%11.3/7.9 利润%7.7/5.3 组织措施费%0.7/0.5 ②地面安装工程：企业管理费%20.8利润%11.9组织措施费%5.7③井下安装工程：企业管理费%15.9利润%10.7组织措施费%2.5④超前探、抽采钻孔（队组自带钻机）：φ94mm煤孔基价43元/米（不含税）⑤超前探、抽采钻孔（发包方提供钻机）：φ94mm煤孔基价40元/米（不含税）⑥签证工单价（不含规费和税金）井下直接工213元/工日，井下辅助工192元/工日，地面辅助工155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774"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225"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774"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225"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1774"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722"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51"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52"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774"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225"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1774"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225" w:type="dxa"/>
            <w:gridSpan w:val="3"/>
            <w:noWrap w:val="0"/>
            <w:vAlign w:val="center"/>
          </w:tcPr>
          <w:p w14:paraId="77E1029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①井巷及附属工程：企业管理费%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 xml:space="preserve"> ②地面安装工程：企业管理费%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③井下安装工程：企业管理费%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④超前探、抽采钻孔（队组自带钻机）：φ94mm煤孔基价</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元/米（不含税）⑤超前探、抽采钻孔（发包方提供钻机）：φ94mm煤孔基价</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元/米（不含税）⑥签证工单价（不含规费和税金）井下直接工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元/工日，井下辅助工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20"/>
                <w:szCs w:val="20"/>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0"/>
                <w:szCs w:val="20"/>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899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五阳煤矿井下巷道掘进及维修工程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3"/>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3"/>
      <w:framePr w:wrap="around" w:vAnchor="text" w:hAnchor="margin" w:xAlign="center" w:y="1"/>
      <w:rPr>
        <w:rStyle w:val="21"/>
      </w:rPr>
    </w:pPr>
    <w:r>
      <w:fldChar w:fldCharType="begin"/>
    </w:r>
    <w:r>
      <w:rPr>
        <w:rStyle w:val="21"/>
      </w:rPr>
      <w:instrText xml:space="preserve">PAGE  </w:instrText>
    </w:r>
    <w:r>
      <w:fldChar w:fldCharType="end"/>
    </w:r>
  </w:p>
  <w:p w14:paraId="65D4A42E">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3"/>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3"/>
      <w:framePr w:wrap="around" w:vAnchor="text" w:hAnchor="margin" w:xAlign="center" w:y="1"/>
      <w:rPr>
        <w:rStyle w:val="21"/>
      </w:rPr>
    </w:pPr>
    <w:r>
      <w:fldChar w:fldCharType="begin"/>
    </w:r>
    <w:r>
      <w:rPr>
        <w:rStyle w:val="21"/>
      </w:rPr>
      <w:instrText xml:space="preserve">PAGE  </w:instrText>
    </w:r>
    <w:r>
      <w:fldChar w:fldCharType="end"/>
    </w:r>
  </w:p>
  <w:p w14:paraId="4C44B9C6">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1CD2"/>
    <w:rsid w:val="181B4524"/>
    <w:rsid w:val="182201B4"/>
    <w:rsid w:val="1830753E"/>
    <w:rsid w:val="18356139"/>
    <w:rsid w:val="18461002"/>
    <w:rsid w:val="18755ED3"/>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C159B9"/>
    <w:rsid w:val="43DC62F6"/>
    <w:rsid w:val="43E268C5"/>
    <w:rsid w:val="43E51C2B"/>
    <w:rsid w:val="43EC14F2"/>
    <w:rsid w:val="43F263DD"/>
    <w:rsid w:val="440E3217"/>
    <w:rsid w:val="44223166"/>
    <w:rsid w:val="44472BCC"/>
    <w:rsid w:val="44501024"/>
    <w:rsid w:val="445175A7"/>
    <w:rsid w:val="446E63AB"/>
    <w:rsid w:val="44817E8C"/>
    <w:rsid w:val="449A0E65"/>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722B0D"/>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4D45E3"/>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6">
    <w:name w:val="heading 2"/>
    <w:basedOn w:val="1"/>
    <w:next w:val="1"/>
    <w:link w:val="25"/>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7">
    <w:name w:val="heading 3"/>
    <w:basedOn w:val="1"/>
    <w:next w:val="1"/>
    <w:link w:val="48"/>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0">
    <w:name w:val="Default Paragraph Font"/>
    <w:autoRedefine/>
    <w:qFormat/>
    <w:uiPriority w:val="0"/>
    <w:rPr>
      <w:rFonts w:ascii="Times New Roman" w:hAnsi="Times New Roman" w:eastAsia="宋体" w:cs="Times New Roman"/>
      <w:szCs w:val="24"/>
    </w:rPr>
  </w:style>
  <w:style w:type="table" w:default="1" w:styleId="18">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customStyle="1" w:styleId="2">
    <w:name w:val="表格文字"/>
    <w:basedOn w:val="1"/>
    <w:next w:val="3"/>
    <w:autoRedefine/>
    <w:qFormat/>
    <w:uiPriority w:val="0"/>
    <w:pPr>
      <w:spacing w:before="25" w:after="25"/>
      <w:jc w:val="left"/>
    </w:pPr>
    <w:rPr>
      <w:spacing w:val="10"/>
      <w:kern w:val="0"/>
      <w:sz w:val="24"/>
      <w:szCs w:val="24"/>
    </w:rPr>
  </w:style>
  <w:style w:type="paragraph" w:styleId="3">
    <w:name w:val="Body Text"/>
    <w:basedOn w:val="1"/>
    <w:next w:val="4"/>
    <w:link w:val="24"/>
    <w:autoRedefine/>
    <w:qFormat/>
    <w:uiPriority w:val="0"/>
    <w:pPr>
      <w:spacing w:after="120" w:afterLines="0"/>
    </w:pPr>
    <w:rPr>
      <w:rFonts w:ascii="Times New Roman" w:hAnsi="Times New Roman" w:eastAsia="宋体" w:cs="Times New Roman"/>
      <w:sz w:val="32"/>
      <w:szCs w:val="20"/>
    </w:rPr>
  </w:style>
  <w:style w:type="paragraph" w:customStyle="1" w:styleId="4">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Normal Indent"/>
    <w:basedOn w:val="1"/>
    <w:next w:val="1"/>
    <w:autoRedefine/>
    <w:qFormat/>
    <w:uiPriority w:val="0"/>
    <w:pPr>
      <w:ind w:firstLine="420" w:firstLineChars="200"/>
    </w:pPr>
  </w:style>
  <w:style w:type="paragraph" w:styleId="9">
    <w:name w:val="annotation text"/>
    <w:basedOn w:val="1"/>
    <w:link w:val="27"/>
    <w:autoRedefine/>
    <w:qFormat/>
    <w:uiPriority w:val="0"/>
    <w:pPr>
      <w:jc w:val="left"/>
    </w:pPr>
    <w:rPr>
      <w:rFonts w:ascii="Times New Roman" w:hAnsi="Times New Roman" w:eastAsia="宋体" w:cs="Times New Roman"/>
      <w:szCs w:val="24"/>
    </w:rPr>
  </w:style>
  <w:style w:type="paragraph" w:styleId="10">
    <w:name w:val="Body Text Indent"/>
    <w:basedOn w:val="1"/>
    <w:autoRedefine/>
    <w:qFormat/>
    <w:uiPriority w:val="0"/>
    <w:pPr>
      <w:spacing w:line="320" w:lineRule="exact"/>
      <w:ind w:firstLine="570"/>
    </w:pPr>
    <w:rPr>
      <w:rFonts w:ascii="宋体"/>
      <w:szCs w:val="20"/>
    </w:rPr>
  </w:style>
  <w:style w:type="paragraph" w:styleId="11">
    <w:name w:val="Plain Text"/>
    <w:basedOn w:val="1"/>
    <w:link w:val="28"/>
    <w:autoRedefine/>
    <w:qFormat/>
    <w:uiPriority w:val="0"/>
    <w:rPr>
      <w:rFonts w:ascii="宋体" w:hAnsi="Courier New" w:eastAsia="宋体" w:cs="Times New Roman"/>
      <w:szCs w:val="21"/>
    </w:rPr>
  </w:style>
  <w:style w:type="paragraph" w:styleId="12">
    <w:name w:val="Balloon Text"/>
    <w:basedOn w:val="1"/>
    <w:autoRedefine/>
    <w:qFormat/>
    <w:uiPriority w:val="0"/>
    <w:rPr>
      <w:rFonts w:ascii="Times New Roman" w:hAnsi="Times New Roman" w:eastAsia="宋体" w:cs="Times New Roman"/>
      <w:sz w:val="18"/>
      <w:szCs w:val="18"/>
    </w:rPr>
  </w:style>
  <w:style w:type="paragraph" w:styleId="13">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5">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6">
    <w:name w:val="Body Text First Indent"/>
    <w:basedOn w:val="3"/>
    <w:autoRedefine/>
    <w:qFormat/>
    <w:uiPriority w:val="0"/>
    <w:pPr>
      <w:ind w:firstLine="420" w:firstLineChars="100"/>
    </w:pPr>
    <w:rPr>
      <w:rFonts w:ascii="Times New Roman" w:hAnsi="Times New Roman" w:eastAsia="宋体" w:cs="Times New Roman"/>
      <w:sz w:val="21"/>
      <w:szCs w:val="24"/>
    </w:rPr>
  </w:style>
  <w:style w:type="paragraph" w:styleId="17">
    <w:name w:val="Body Text First Indent 2"/>
    <w:basedOn w:val="10"/>
    <w:autoRedefine/>
    <w:qFormat/>
    <w:uiPriority w:val="0"/>
    <w:pPr>
      <w:ind w:firstLine="200" w:firstLineChars="200"/>
    </w:pPr>
  </w:style>
  <w:style w:type="table" w:styleId="19">
    <w:name w:val="Table Grid"/>
    <w:basedOn w:val="1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character" w:customStyle="1" w:styleId="24">
    <w:name w:val="正文文本 字符"/>
    <w:link w:val="3"/>
    <w:autoRedefine/>
    <w:qFormat/>
    <w:uiPriority w:val="0"/>
    <w:rPr>
      <w:rFonts w:ascii="Times New Roman" w:hAnsi="Times New Roman" w:eastAsia="宋体" w:cs="Times New Roman"/>
      <w:kern w:val="2"/>
      <w:sz w:val="32"/>
    </w:rPr>
  </w:style>
  <w:style w:type="character" w:customStyle="1" w:styleId="25">
    <w:name w:val="标题 2 字符"/>
    <w:link w:val="6"/>
    <w:autoRedefine/>
    <w:qFormat/>
    <w:uiPriority w:val="0"/>
    <w:rPr>
      <w:rFonts w:ascii="宋体" w:hAnsi="宋体" w:eastAsia="宋体" w:cs="Times New Roman"/>
      <w:b/>
      <w:bCs/>
      <w:kern w:val="2"/>
      <w:sz w:val="28"/>
      <w:szCs w:val="32"/>
    </w:rPr>
  </w:style>
  <w:style w:type="character" w:customStyle="1" w:styleId="26">
    <w:name w:val="标题 3 字符"/>
    <w:link w:val="7"/>
    <w:autoRedefine/>
    <w:qFormat/>
    <w:uiPriority w:val="0"/>
    <w:rPr>
      <w:rFonts w:ascii="Times New Roman" w:hAnsi="Times New Roman" w:eastAsia="宋体" w:cs="Times New Roman"/>
      <w:b/>
      <w:bCs/>
      <w:kern w:val="2"/>
      <w:sz w:val="32"/>
      <w:szCs w:val="32"/>
    </w:rPr>
  </w:style>
  <w:style w:type="character" w:customStyle="1" w:styleId="27">
    <w:name w:val="批注文字 字符"/>
    <w:link w:val="9"/>
    <w:autoRedefine/>
    <w:qFormat/>
    <w:uiPriority w:val="0"/>
    <w:rPr>
      <w:rFonts w:ascii="Times New Roman" w:hAnsi="Times New Roman" w:eastAsia="宋体" w:cs="Times New Roman"/>
      <w:kern w:val="2"/>
      <w:sz w:val="21"/>
      <w:szCs w:val="24"/>
    </w:rPr>
  </w:style>
  <w:style w:type="character" w:customStyle="1" w:styleId="28">
    <w:name w:val="纯文本 字符"/>
    <w:link w:val="11"/>
    <w:autoRedefine/>
    <w:qFormat/>
    <w:uiPriority w:val="0"/>
    <w:rPr>
      <w:rFonts w:ascii="宋体" w:hAnsi="Courier New" w:eastAsia="宋体" w:cs="Courier New"/>
      <w:kern w:val="2"/>
      <w:sz w:val="21"/>
      <w:szCs w:val="21"/>
    </w:rPr>
  </w:style>
  <w:style w:type="character" w:customStyle="1" w:styleId="29">
    <w:name w:val="纯文本 Char1"/>
    <w:autoRedefine/>
    <w:qFormat/>
    <w:uiPriority w:val="0"/>
    <w:rPr>
      <w:rFonts w:ascii="宋体" w:hAnsi="Courier New" w:eastAsia="宋体" w:cs="Courier New"/>
      <w:kern w:val="2"/>
      <w:sz w:val="21"/>
      <w:szCs w:val="21"/>
    </w:rPr>
  </w:style>
  <w:style w:type="character" w:customStyle="1" w:styleId="30">
    <w:name w:val="批注文字 Char1"/>
    <w:autoRedefine/>
    <w:qFormat/>
    <w:uiPriority w:val="0"/>
    <w:rPr>
      <w:rFonts w:ascii="Times New Roman" w:hAnsi="Times New Roman" w:eastAsia="宋体" w:cs="Times New Roman"/>
      <w:kern w:val="2"/>
      <w:sz w:val="21"/>
      <w:szCs w:val="24"/>
    </w:rPr>
  </w:style>
  <w:style w:type="character" w:customStyle="1" w:styleId="31">
    <w:name w:val=" Char Char"/>
    <w:autoRedefine/>
    <w:qFormat/>
    <w:uiPriority w:val="0"/>
    <w:rPr>
      <w:rFonts w:ascii="宋体" w:hAnsi="Courier New" w:eastAsia="宋体" w:cs="Courier New"/>
      <w:kern w:val="2"/>
      <w:sz w:val="21"/>
      <w:szCs w:val="21"/>
    </w:rPr>
  </w:style>
  <w:style w:type="paragraph" w:customStyle="1" w:styleId="32">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
    <w:name w:val="Char Char Char Char Char Char Char"/>
    <w:basedOn w:val="1"/>
    <w:autoRedefine/>
    <w:qFormat/>
    <w:uiPriority w:val="0"/>
    <w:rPr>
      <w:rFonts w:ascii="Times New Roman" w:hAnsi="Times New Roman" w:eastAsia="宋体" w:cs="Times New Roman"/>
      <w:szCs w:val="24"/>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7">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9">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1">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2">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4">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5">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6">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7">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8">
    <w:name w:val="标题 3 Char"/>
    <w:link w:val="7"/>
    <w:autoRedefine/>
    <w:qFormat/>
    <w:uiPriority w:val="0"/>
    <w:rPr>
      <w:rFonts w:ascii="宋体" w:hAnsi="宋体"/>
      <w:b/>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19871</Words>
  <Characters>20777</Characters>
  <Lines>173</Lines>
  <Paragraphs>48</Paragraphs>
  <TotalTime>3</TotalTime>
  <ScaleCrop>false</ScaleCrop>
  <LinksUpToDate>false</LinksUpToDate>
  <CharactersWithSpaces>23221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2026-03-14T13:57:11Z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C95D9CE377B34E58A176D3BD052FA55C_13</vt:lpwstr>
  </property>
  <property fmtid="{D5CDD505-2E9C-101B-9397-08002B2CF9AE}" pid="4" name="KSOTemplateDocerSaveRecord">
    <vt:lpwstr>eyJoZGlkIjoiOGM3MzFjN2VmYWE3ZjVlZWQwZWRiMzBmNzAzZmVkZjkiLCJ1c2VySWQiOiIzOTUxOTg4NTgifQ==</vt:lpwstr>
  </property>
</Properties>
</file>