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bookmarkStart w:id="160" w:name="_GoBack"/>
      <w:bookmarkEnd w:id="160"/>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3"/>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LAGCGSKJFGS（L）038</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6"/>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五阳煤矿井下巷道掘进及维修工程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五阳煤矿井下巷道掘进及维修工程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五阳煤矿井下巷道掘进及维修工程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8001切眼底抽巷开口及掘进、主2皮带运输巷车场回撤机电设备、新76.2#皮带巷拉底硬化、74.1#架空人车巷补强支护、74.2#架空人车巷补强支护、75总回联络巷补强支护等巷道掘进及巷道修复工程，零星用工等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350天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1-1断面(矩形断面5.5m×4m,煤,斜巷＜10°，排距1000mm，机掘）8640元/米（不含税）；2-2断面(矩形断面4.5m×3.5m,岩,斜巷＜10°，排距1200mm，机掘）9080元/米（不含税）；3-3断面(矩形断面4.8m×3.5m,岩,斜巷＜10°，排距1200mm，机掘）10170元/米（不含税）②井巷及附属工程：企业管理费%11.3/7.9 利润%7.7/5.3 组织措施费%0.7/0.5 ③地面安装工程：企业管理费%20.8利润%11.9组织措施费%5.7④井下安装工程：企业管理费%15.9利润%10.7组织措施费%2.5⑤超前探、抽采钻孔（队组自带钻机）：φ94mm煤孔基价43元/米（不含税）⑥超前探、抽采钻孔（发包方提供钻机）：φ94mm煤孔基价40元/米（不含税）⑦签证工单价（不含规费和税金）井下直接工213元/工日，井下辅助工192元/工日，地面辅助工155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w:t>
      </w:r>
      <w:r>
        <w:rPr>
          <w:rFonts w:hint="eastAsia" w:ascii="宋体" w:hAnsi="宋体" w:cs="宋体"/>
          <w:color w:val="000000" w:themeColor="text1"/>
          <w:sz w:val="24"/>
          <w:szCs w:val="24"/>
          <w:highlight w:val="none"/>
          <w:u w:val="single"/>
          <w:lang w:val="en-US" w:eastAsia="zh-CN"/>
          <w14:textFill>
            <w14:solidFill>
              <w14:schemeClr w14:val="tx1"/>
            </w14:solidFill>
          </w14:textFill>
        </w:rPr>
        <w:t>9日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李伟</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13620653935</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2026年1月8日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3F1F64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auto"/>
          <w:sz w:val="24"/>
          <w:szCs w:val="24"/>
          <w:highlight w:val="none"/>
          <w:lang w:val="en-US" w:eastAsia="zh-CN"/>
        </w:rPr>
        <w:t>井下巷道掘进工程采用固定单价计价方式进行结算，如发生巷道断面大小、支护方式、坡度等变化或新增巷道，则执行如下标准：</w:t>
      </w:r>
    </w:p>
    <w:p w14:paraId="0F779C5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工程价款按规定的工程造价计算程序计算，</w:t>
      </w:r>
      <w:r>
        <w:rPr>
          <w:rFonts w:hint="eastAsia" w:ascii="宋体" w:hAnsi="宋体" w:eastAsia="宋体" w:cs="宋体"/>
          <w:color w:val="000000" w:themeColor="text1"/>
          <w:sz w:val="24"/>
          <w:szCs w:val="24"/>
          <w:highlight w:val="none"/>
          <w:lang w:val="en-US" w:eastAsia="zh-CN"/>
          <w14:textFill>
            <w14:solidFill>
              <w14:schemeClr w14:val="tx1"/>
            </w14:solidFill>
          </w14:textFill>
        </w:rPr>
        <w:t>掘进工程、</w:t>
      </w:r>
      <w:r>
        <w:rPr>
          <w:rFonts w:hint="eastAsia" w:ascii="宋体" w:hAnsi="宋体" w:eastAsia="宋体" w:cs="宋体"/>
          <w:color w:val="000000" w:themeColor="text1"/>
          <w:sz w:val="24"/>
          <w:szCs w:val="24"/>
          <w:highlight w:val="none"/>
          <w:lang w:eastAsia="zh-CN"/>
          <w14:textFill>
            <w14:solidFill>
              <w14:schemeClr w14:val="tx1"/>
            </w14:solidFill>
          </w14:textFill>
        </w:rPr>
        <w:t>安装工程三项费率按双方谈判完成的费率计取；总造价不下浮。</w:t>
      </w:r>
    </w:p>
    <w:p w14:paraId="3F6D55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如采用自带掘进机、皮带等设备进行拉底扩帮施工作业时，三项费率按</w:t>
      </w:r>
      <w:r>
        <w:rPr>
          <w:rFonts w:hint="eastAsia" w:ascii="宋体" w:hAnsi="宋体" w:eastAsia="宋体" w:cs="宋体"/>
          <w:color w:val="000000" w:themeColor="text1"/>
          <w:sz w:val="24"/>
          <w:szCs w:val="24"/>
          <w:highlight w:val="none"/>
          <w:lang w:val="en-US" w:eastAsia="zh-CN"/>
          <w14:textFill>
            <w14:solidFill>
              <w14:schemeClr w14:val="tx1"/>
            </w14:solidFill>
          </w14:textFill>
        </w:rPr>
        <w:t>上述</w:t>
      </w:r>
      <w:r>
        <w:rPr>
          <w:rFonts w:hint="eastAsia" w:ascii="宋体" w:hAnsi="宋体" w:eastAsia="宋体" w:cs="宋体"/>
          <w:color w:val="000000" w:themeColor="text1"/>
          <w:sz w:val="24"/>
          <w:szCs w:val="24"/>
          <w:highlight w:val="none"/>
          <w:lang w:eastAsia="zh-CN"/>
          <w14:textFill>
            <w14:solidFill>
              <w14:schemeClr w14:val="tx1"/>
            </w14:solidFill>
          </w14:textFill>
        </w:rPr>
        <w:t>费率计取，总价不下浮。</w:t>
      </w:r>
    </w:p>
    <w:p w14:paraId="227B05A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井巷工程辅助费：施工单位辅助费按照定额标准的4</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%计取。当施工单位负责本巷道开口以外矿方带式输送机的运行、维护、清淤等作业，带式输送机≤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每增加一部带式输送机辅助费按1%调增，带式输送机＞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施工单位按相应定额子目计取机械费中检修费、维护费；当施工单位负责本巷道开口以外自购带式输送机的运行、维护、清淤等作业，带式输送机≤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每增加一部带式输送机辅助费按3%调增，带式输送机＞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施工单位按相应定额子目计取机械费中折旧费、检修费、维护费。</w:t>
      </w:r>
    </w:p>
    <w:p w14:paraId="6172DA7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其他签证工程</w:t>
      </w:r>
    </w:p>
    <w:p w14:paraId="6A547C7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其他签证工程三项费率按</w:t>
      </w:r>
      <w:r>
        <w:rPr>
          <w:rFonts w:hint="eastAsia" w:ascii="宋体" w:hAnsi="宋体" w:eastAsia="宋体" w:cs="宋体"/>
          <w:color w:val="000000" w:themeColor="text1"/>
          <w:sz w:val="24"/>
          <w:szCs w:val="24"/>
          <w:highlight w:val="none"/>
          <w:lang w:val="en-US" w:eastAsia="zh-CN"/>
          <w14:textFill>
            <w14:solidFill>
              <w14:schemeClr w14:val="tx1"/>
            </w14:solidFill>
          </w14:textFill>
        </w:rPr>
        <w:t>上述掘进</w:t>
      </w:r>
      <w:r>
        <w:rPr>
          <w:rFonts w:hint="eastAsia" w:ascii="宋体" w:hAnsi="宋体" w:eastAsia="宋体" w:cs="宋体"/>
          <w:color w:val="000000" w:themeColor="text1"/>
          <w:sz w:val="24"/>
          <w:szCs w:val="24"/>
          <w:highlight w:val="none"/>
          <w:lang w:eastAsia="zh-CN"/>
          <w14:textFill>
            <w14:solidFill>
              <w14:schemeClr w14:val="tx1"/>
            </w14:solidFill>
          </w14:textFill>
        </w:rPr>
        <w:t>费率计取，工程总造价按税前89%计取。</w:t>
      </w:r>
    </w:p>
    <w:p w14:paraId="306B4D5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施工单位主要使用矿方辅助系统时，涉及使用的辅助系统设备如移变、开关、电缆等由矿方免费提供，辅助费按定额标准的13%计取。施工单位使用自购带式输送机、刮板输送机等设备施工时，辅助费按定额标准的</w:t>
      </w:r>
      <w:r>
        <w:rPr>
          <w:rFonts w:hint="eastAsia" w:ascii="宋体" w:hAnsi="宋体" w:eastAsia="宋体" w:cs="宋体"/>
          <w:color w:val="000000" w:themeColor="text1"/>
          <w:sz w:val="24"/>
          <w:szCs w:val="24"/>
          <w:highlight w:val="none"/>
          <w:lang w:val="en-US" w:eastAsia="zh-CN"/>
          <w14:textFill>
            <w14:solidFill>
              <w14:schemeClr w14:val="tx1"/>
            </w14:solidFill>
          </w14:textFill>
        </w:rPr>
        <w:t>35</w:t>
      </w:r>
      <w:r>
        <w:rPr>
          <w:rFonts w:hint="eastAsia" w:ascii="宋体" w:hAnsi="宋体" w:eastAsia="宋体" w:cs="宋体"/>
          <w:color w:val="000000" w:themeColor="text1"/>
          <w:sz w:val="24"/>
          <w:szCs w:val="24"/>
          <w:highlight w:val="none"/>
          <w:lang w:eastAsia="zh-CN"/>
          <w14:textFill>
            <w14:solidFill>
              <w14:schemeClr w14:val="tx1"/>
            </w14:solidFill>
          </w14:textFill>
        </w:rPr>
        <w:t>%计取。当施工单位负责施工区域以外矿方带式输送机、刮板输送机的运行、维护、清淤等作业，带式输送机、刮板输送机≤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每增加一部带式输送机、刮板输送机辅助费按1%调增，带式输送机、刮板输送机＞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施工单位按相应定额子目计取机械费中检修费、维护费；当施工单位负责施工区域以外自购带式输送机、刮板输送机的运行、维护、清淤等作业，带式输送机、刮板输送机≤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每增加一部带式输送机、刮板输送机辅助费按3%调增，带式输送机、刮板输送机＞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施工单位按相应定额子目计取机械费中折旧费、检修费、维护费。</w:t>
      </w:r>
    </w:p>
    <w:p w14:paraId="2999F67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人工背运材料按相应井巷工程定额的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63%计取</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507B8CE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清挖水仓按相应井巷工程定额的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63%计取</w:t>
      </w:r>
      <w:r>
        <w:rPr>
          <w:rFonts w:hint="eastAsia" w:ascii="宋体" w:hAnsi="宋体" w:eastAsia="宋体" w:cs="宋体"/>
          <w:color w:val="000000" w:themeColor="text1"/>
          <w:sz w:val="24"/>
          <w:szCs w:val="24"/>
          <w:highlight w:val="none"/>
          <w:lang w:eastAsia="zh-CN"/>
          <w14:textFill>
            <w14:solidFill>
              <w14:schemeClr w14:val="tx1"/>
            </w14:solidFill>
          </w14:textFill>
        </w:rPr>
        <w:t>，水仓清挖时如发生二次翻矸，同样按相应井巷工程定额的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63%计取</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64DAB85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、掘进工程及其他签证工程直接费中机械费：</w:t>
      </w:r>
    </w:p>
    <w:p w14:paraId="7123D2B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结算时施工单位计取机械费中人工费、折旧费、检修费、维护费和安拆及场外运费，掘进机配套用的电机、减速机、悬臂段、油泵、截割头等部件损坏更换及油脂油管由施工单位自行采购。</w:t>
      </w:r>
    </w:p>
    <w:p w14:paraId="4776FA9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巷道施工所需的风镐、锚杆钻机等设备及日常维护所需的配件、施工所用工器具均由施工单位负责采购。结算时施工单位计取机械费中人工费、折旧费、检修费、维护费和安拆及场外运费。</w:t>
      </w:r>
    </w:p>
    <w:p w14:paraId="417A414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4、规费暂按煤炭工业邯郸工程造价管理站核准的上年度的费率计算。</w:t>
      </w:r>
    </w:p>
    <w:p w14:paraId="6A0354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5、安全文明施工费属不可竞争性费用，按定额规定计取。</w:t>
      </w:r>
    </w:p>
    <w:p w14:paraId="6DF76D2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6、人工调差按集团公司最新文件执行。</w:t>
      </w:r>
    </w:p>
    <w:p w14:paraId="1428817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7、签证工单价（不含规费和税金）按照</w:t>
      </w:r>
      <w:r>
        <w:rPr>
          <w:rFonts w:hint="eastAsia" w:ascii="宋体" w:hAnsi="宋体" w:eastAsia="宋体" w:cs="宋体"/>
          <w:color w:val="000000" w:themeColor="text1"/>
          <w:sz w:val="24"/>
          <w:szCs w:val="24"/>
          <w:highlight w:val="none"/>
          <w:lang w:eastAsia="zh-CN"/>
          <w14:textFill>
            <w14:solidFill>
              <w14:schemeClr w14:val="tx1"/>
            </w14:solidFill>
          </w14:textFill>
        </w:rPr>
        <w:t>双方谈判完成的</w:t>
      </w:r>
      <w:r>
        <w:rPr>
          <w:rFonts w:hint="eastAsia" w:ascii="宋体" w:hAnsi="宋体" w:eastAsia="宋体" w:cs="宋体"/>
          <w:color w:val="000000" w:themeColor="text1"/>
          <w:sz w:val="24"/>
          <w:szCs w:val="24"/>
          <w:highlight w:val="none"/>
          <w:lang w:val="en-US" w:eastAsia="zh-CN"/>
          <w14:textFill>
            <w14:solidFill>
              <w14:schemeClr w14:val="tx1"/>
            </w14:solidFill>
          </w14:textFill>
        </w:rPr>
        <w:t>价格</w:t>
      </w:r>
      <w:r>
        <w:rPr>
          <w:rFonts w:hint="eastAsia" w:ascii="宋体" w:hAnsi="宋体" w:eastAsia="宋体" w:cs="宋体"/>
          <w:color w:val="000000" w:themeColor="text1"/>
          <w:sz w:val="24"/>
          <w:szCs w:val="24"/>
          <w:highlight w:val="none"/>
          <w:lang w:eastAsia="zh-CN"/>
          <w14:textFill>
            <w14:solidFill>
              <w14:schemeClr w14:val="tx1"/>
            </w14:solidFill>
          </w14:textFill>
        </w:rPr>
        <w:t>计取。</w:t>
      </w:r>
    </w:p>
    <w:p w14:paraId="55EA13B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超前探、抽采钻孔工程依据实测验收的钻孔（以孔径￠94mm的钻孔标准）进尺为结算依据，结算基价X(φ94mm煤孔单价)按双方谈判完成的价格（不含税）计取，结算时根据钻孔瓦斯含量取相对应系数（瓦斯含量＜8m3/t取1.05系数，8≤瓦斯含量＜12m3/t取1.1系数，瓦斯含量≥12 m3/t取1.15系数）*基价进行结算；岩孔单价（以孔径￠94mm的钻孔标准）按煤孔基价的2倍计算；非标准孔径换算为￠94mm的标准钻孔（结算单价=X*D/94（元/米），其中（X表示￠94mm钻孔单价，D表示其它孔径钻孔直径）。</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9663453"/>
      <w:bookmarkStart w:id="2" w:name="_Toc384137522"/>
      <w:bookmarkStart w:id="3" w:name="_Toc384026351"/>
      <w:bookmarkStart w:id="4" w:name="_Toc389602796"/>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89586296"/>
      <w:bookmarkStart w:id="7" w:name="_Toc371493141"/>
      <w:bookmarkStart w:id="8" w:name="_Toc383940878"/>
      <w:bookmarkStart w:id="9" w:name="_Toc384026352"/>
      <w:bookmarkStart w:id="10" w:name="_Toc384137523"/>
      <w:bookmarkStart w:id="11" w:name="_Toc389663454"/>
      <w:bookmarkStart w:id="12" w:name="_Toc389602797"/>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4026355"/>
      <w:bookmarkStart w:id="20" w:name="_Toc384137526"/>
      <w:bookmarkStart w:id="21" w:name="_Toc389602800"/>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3940883"/>
      <w:bookmarkStart w:id="25" w:name="_Toc389663459"/>
      <w:bookmarkStart w:id="26" w:name="_Toc384026357"/>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9663460"/>
      <w:bookmarkStart w:id="30" w:name="_Toc384026358"/>
      <w:bookmarkStart w:id="31" w:name="_Toc389602803"/>
      <w:bookmarkStart w:id="32" w:name="_Toc383940884"/>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4137615"/>
      <w:bookmarkStart w:id="35" w:name="_Toc383940993"/>
      <w:bookmarkStart w:id="36" w:name="_Toc389602889"/>
      <w:bookmarkStart w:id="37" w:name="_Toc384026467"/>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6"/>
        <w:rPr>
          <w:rFonts w:hint="eastAsia" w:ascii="宋体" w:hAnsi="宋体" w:eastAsia="宋体" w:cs="宋体"/>
          <w:color w:val="000000" w:themeColor="text1"/>
          <w:highlight w:val="none"/>
          <w14:textFill>
            <w14:solidFill>
              <w14:schemeClr w14:val="tx1"/>
            </w14:solidFill>
          </w14:textFill>
        </w:rPr>
      </w:pPr>
    </w:p>
    <w:p w14:paraId="435C512B">
      <w:pPr>
        <w:pStyle w:val="16"/>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02891"/>
      <w:bookmarkStart w:id="39" w:name="_Toc384137617"/>
      <w:bookmarkStart w:id="40" w:name="_Toc384054024"/>
      <w:bookmarkStart w:id="41" w:name="_Toc384026469"/>
      <w:bookmarkStart w:id="42" w:name="_Toc383940995"/>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9663554"/>
      <w:bookmarkStart w:id="56" w:name="_Toc384054025"/>
      <w:bookmarkStart w:id="57" w:name="_Toc389602897"/>
      <w:bookmarkStart w:id="58" w:name="_Toc384026470"/>
      <w:bookmarkStart w:id="59" w:name="_Toc384137618"/>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63557"/>
      <w:bookmarkStart w:id="65" w:name="_Toc383940997"/>
      <w:bookmarkStart w:id="66" w:name="_Toc384137619"/>
      <w:bookmarkStart w:id="67" w:name="_Toc384026471"/>
      <w:bookmarkStart w:id="68" w:name="_Toc384054026"/>
      <w:bookmarkStart w:id="69" w:name="_Toc389602900"/>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02908"/>
      <w:bookmarkStart w:id="82" w:name="_Toc384054028"/>
      <w:bookmarkStart w:id="83" w:name="_Toc389663565"/>
      <w:bookmarkStart w:id="84" w:name="_Toc384026473"/>
      <w:bookmarkStart w:id="85" w:name="_Toc383940999"/>
      <w:bookmarkStart w:id="86" w:name="_Toc384137621"/>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1037618"/>
      <w:bookmarkStart w:id="88" w:name="_Toc389663566"/>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9"/>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4054029"/>
      <w:bookmarkStart w:id="101" w:name="_Toc389663570"/>
      <w:bookmarkStart w:id="102" w:name="_Toc384137622"/>
      <w:bookmarkStart w:id="103" w:name="_Toc383941000"/>
      <w:bookmarkStart w:id="104" w:name="_Toc389602913"/>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3941003"/>
      <w:bookmarkStart w:id="111" w:name="_Toc389602925"/>
      <w:bookmarkStart w:id="112" w:name="_Toc384137625"/>
      <w:bookmarkStart w:id="113" w:name="_Toc389663582"/>
      <w:bookmarkStart w:id="114" w:name="_Toc38405403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54033"/>
      <w:bookmarkStart w:id="118" w:name="_Toc389663585"/>
      <w:bookmarkStart w:id="119" w:name="_Toc384137626"/>
      <w:bookmarkStart w:id="120" w:name="_Toc384026478"/>
      <w:bookmarkStart w:id="121" w:name="_Toc389602929"/>
      <w:bookmarkStart w:id="122" w:name="_Toc383941004"/>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9602932"/>
      <w:bookmarkStart w:id="125" w:name="_Toc389663589"/>
      <w:bookmarkStart w:id="126" w:name="_Toc383941005"/>
      <w:bookmarkStart w:id="127" w:name="_Toc384054034"/>
      <w:bookmarkStart w:id="128" w:name="_Toc384137627"/>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54035"/>
      <w:bookmarkStart w:id="133" w:name="_Toc389663592"/>
      <w:bookmarkStart w:id="134" w:name="_Toc389602935"/>
      <w:bookmarkStart w:id="135" w:name="_Toc383941006"/>
      <w:bookmarkStart w:id="136" w:name="_Toc384026480"/>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4137629"/>
      <w:bookmarkStart w:id="142" w:name="_Toc383941007"/>
      <w:bookmarkStart w:id="143" w:name="_Toc389663596"/>
      <w:bookmarkStart w:id="144" w:name="_Toc384026481"/>
      <w:bookmarkStart w:id="145" w:name="_Toc38960293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54039"/>
      <w:bookmarkStart w:id="151" w:name="_Toc384137632"/>
      <w:bookmarkStart w:id="152" w:name="_Toc389663606"/>
      <w:bookmarkStart w:id="153" w:name="_Toc384026484"/>
      <w:bookmarkStart w:id="154" w:name="_Toc383941010"/>
      <w:bookmarkStart w:id="155" w:name="_Toc389602947"/>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6"/>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6"/>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7"/>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7"/>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4"/>
        <w:rPr>
          <w:rFonts w:hint="eastAsia" w:ascii="宋体" w:hAnsi="宋体" w:eastAsia="宋体" w:cs="宋体"/>
          <w:color w:val="000000" w:themeColor="text1"/>
          <w:highlight w:val="none"/>
          <w14:textFill>
            <w14:solidFill>
              <w14:schemeClr w14:val="tx1"/>
            </w14:solidFill>
          </w14:textFill>
        </w:rPr>
      </w:pPr>
    </w:p>
    <w:p w14:paraId="5F13F9FD">
      <w:pPr>
        <w:pStyle w:val="4"/>
        <w:rPr>
          <w:rFonts w:hint="eastAsia" w:ascii="宋体" w:hAnsi="宋体" w:eastAsia="宋体" w:cs="宋体"/>
          <w:color w:val="000000" w:themeColor="text1"/>
          <w:highlight w:val="none"/>
          <w14:textFill>
            <w14:solidFill>
              <w14:schemeClr w14:val="tx1"/>
            </w14:solidFill>
          </w14:textFill>
        </w:rPr>
      </w:pPr>
    </w:p>
    <w:p w14:paraId="05FE6096">
      <w:pPr>
        <w:pStyle w:val="4"/>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8"/>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3"/>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五阳煤矿井下巷道掘进及维修工程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LAGCGSKJFGS（L）038</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五阳煤矿井下巷道掘进及维修工程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8"/>
        <w:tblW w:w="8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2680"/>
        <w:gridCol w:w="2216"/>
        <w:gridCol w:w="221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6" w:hRule="atLeast"/>
        </w:trPr>
        <w:tc>
          <w:tcPr>
            <w:tcW w:w="1747"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112"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①1-1断面(矩形断面5.5m×4m,煤,斜巷＜10°，排距1000mm，机掘）</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元/米（不含税）；2-2断面(矩形断面4.5m×3.5m,岩,斜巷＜10°，排距1200mm，机掘）</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元/米（不含税）；3-3断面(矩形断面4.8m×3.5m,岩,斜巷＜10°，排距1200mm，机掘）</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元/米（不含税）②井巷及附属工程：企业管理费%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③地面安装工程：企业管理费%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④井下安装工程：企业管理费%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⑤超前探、抽采钻孔（队组自带钻机）：φ94mm煤孔基价</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元/米（不含税）⑥超前探、抽采钻孔（发包方提供钻机）：φ94mm煤孔基价</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元/米（不含税）⑦签证工单价（不含规费和税金）井下直接工</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元/工日，井下辅助工</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元/工日，地面辅助工</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1" w:hRule="atLeast"/>
        </w:trPr>
        <w:tc>
          <w:tcPr>
            <w:tcW w:w="1747"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112"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u w:val="none"/>
                <w:lang w:val="en-US" w:eastAsia="zh-CN" w:bidi="ar-SA"/>
                <w14:textFill>
                  <w14:solidFill>
                    <w14:schemeClr w14:val="tx1"/>
                  </w14:solidFill>
                </w14:textFill>
              </w:rPr>
              <w:t>①1-1断面(矩形断面5.5m×4m,煤,斜巷＜10°，排距1000mm，机掘）8640元/米（不含税）；2-2断面(矩形断面4.5m×3.5m,岩,斜巷＜10°，排距1200mm，机掘）9080元/米（不含税）；3-3断面(矩形断面4.8m×3.5m,岩,斜巷＜10°，排距1200mm，机掘）10170元/米（不含税）②井巷及附属工程：企业管理费%11.3/7.9 利润%7.7/5.3 组织措施费%0.7/0.5 ③地面安装工程：企业管理费%20.8利润%11.9组织措施费%5.7④井下安装工程：企业管理费%15.9利润%10.7组织措施费%2.5⑤超前探、抽采钻孔（队组自带钻机）：φ94mm煤孔基价43元/米（不含税）⑥超前探、抽采钻孔（发包方提供钻机）：φ94mm煤孔基价40元/米（不含税）⑦签证工单价（不含规费和税金）井下直接工213元/工日，井下辅助工192元/工日，地面辅助工155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747"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7112"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747"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7112"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1747"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80"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21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21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747"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7112"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1747"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112" w:type="dxa"/>
            <w:gridSpan w:val="3"/>
            <w:noWrap w:val="0"/>
            <w:vAlign w:val="center"/>
          </w:tcPr>
          <w:p w14:paraId="191057B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①1-1断面(矩形断面5.5m×4m,煤,斜巷＜10°，排距1000mm，机掘）</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元/米（不含税）；2-2断面(矩形断面4.5m×3.5m,岩,斜巷＜10°，排距1200mm，机掘）</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元/米（不含税）；3-3断面(矩形断面4.8m×3.5m,岩,斜巷＜10°，排距1200mm，机掘）</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元/米（不含税）②井巷及附属工程：企业管理费%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③地面安装工程：企业管理费%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④井下安装工程：企业管理费%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⑤超前探、抽采钻孔（队组自带钻机）：φ94mm煤孔基价</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元/米（不含税）⑥超前探、抽采钻孔（发包方提供钻机）：φ94mm煤孔基价</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元/米（不含税）⑦签证工单价（不含规费和税金）井下直接工</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元/工日，井下辅助工</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元/工日，地面辅助工</w:t>
            </w:r>
            <w:r>
              <w:rPr>
                <w:rFonts w:hint="eastAsia" w:ascii="宋体" w:hAnsi="宋体" w:cs="宋体"/>
                <w:color w:val="000000" w:themeColor="text1"/>
                <w:kern w:val="2"/>
                <w:sz w:val="16"/>
                <w:szCs w:val="16"/>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16"/>
                <w:szCs w:val="16"/>
                <w:highlight w:val="none"/>
                <w:u w:val="none"/>
                <w:lang w:val="en-US" w:eastAsia="zh-CN" w:bidi="ar-SA"/>
                <w14:textFill>
                  <w14:solidFill>
                    <w14:schemeClr w14:val="tx1"/>
                  </w14:solidFill>
                </w14:textFill>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885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3"/>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3"/>
      <w:framePr w:wrap="around" w:vAnchor="text" w:hAnchor="margin" w:xAlign="center" w:y="1"/>
      <w:rPr>
        <w:rStyle w:val="21"/>
      </w:rPr>
    </w:pPr>
    <w:r>
      <w:fldChar w:fldCharType="begin"/>
    </w:r>
    <w:r>
      <w:rPr>
        <w:rStyle w:val="21"/>
      </w:rPr>
      <w:instrText xml:space="preserve">PAGE  </w:instrText>
    </w:r>
    <w:r>
      <w:fldChar w:fldCharType="end"/>
    </w:r>
  </w:p>
  <w:p w14:paraId="65D4A42E">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3"/>
      <w:framePr w:wrap="around" w:vAnchor="text" w:hAnchor="margin" w:xAlign="center" w:y="1"/>
      <w:rPr>
        <w:rStyle w:val="21"/>
      </w:rPr>
    </w:pPr>
    <w:r>
      <w:fldChar w:fldCharType="begin"/>
    </w:r>
    <w:r>
      <w:rPr>
        <w:rStyle w:val="21"/>
      </w:rPr>
      <w:instrText xml:space="preserve">PAGE  </w:instrText>
    </w:r>
    <w:r>
      <w:fldChar w:fldCharType="end"/>
    </w:r>
  </w:p>
  <w:p w14:paraId="4C44B9C6">
    <w:pPr>
      <w:pStyle w:val="1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754687"/>
    <w:rsid w:val="4B9B321A"/>
    <w:rsid w:val="4C1F216E"/>
    <w:rsid w:val="4C4579F1"/>
    <w:rsid w:val="4C4C5997"/>
    <w:rsid w:val="4C4D6E52"/>
    <w:rsid w:val="4C51283A"/>
    <w:rsid w:val="4C520360"/>
    <w:rsid w:val="4C722B0D"/>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4D45E3"/>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6">
    <w:name w:val="heading 2"/>
    <w:basedOn w:val="1"/>
    <w:next w:val="1"/>
    <w:link w:val="25"/>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7">
    <w:name w:val="heading 3"/>
    <w:basedOn w:val="1"/>
    <w:next w:val="1"/>
    <w:link w:val="48"/>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0">
    <w:name w:val="Default Paragraph Font"/>
    <w:autoRedefine/>
    <w:qFormat/>
    <w:uiPriority w:val="0"/>
    <w:rPr>
      <w:rFonts w:ascii="Times New Roman" w:hAnsi="Times New Roman" w:eastAsia="宋体" w:cs="Times New Roman"/>
      <w:szCs w:val="24"/>
    </w:rPr>
  </w:style>
  <w:style w:type="table" w:default="1" w:styleId="18">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customStyle="1" w:styleId="2">
    <w:name w:val="表格文字"/>
    <w:basedOn w:val="1"/>
    <w:next w:val="3"/>
    <w:autoRedefine/>
    <w:qFormat/>
    <w:uiPriority w:val="0"/>
    <w:pPr>
      <w:spacing w:before="25" w:after="25"/>
      <w:jc w:val="left"/>
    </w:pPr>
    <w:rPr>
      <w:spacing w:val="10"/>
      <w:kern w:val="0"/>
      <w:sz w:val="24"/>
      <w:szCs w:val="24"/>
    </w:rPr>
  </w:style>
  <w:style w:type="paragraph" w:styleId="3">
    <w:name w:val="Body Text"/>
    <w:basedOn w:val="1"/>
    <w:next w:val="4"/>
    <w:link w:val="24"/>
    <w:autoRedefine/>
    <w:qFormat/>
    <w:uiPriority w:val="0"/>
    <w:pPr>
      <w:spacing w:after="120" w:afterLines="0"/>
    </w:pPr>
    <w:rPr>
      <w:rFonts w:ascii="Times New Roman" w:hAnsi="Times New Roman" w:eastAsia="宋体" w:cs="Times New Roman"/>
      <w:sz w:val="32"/>
      <w:szCs w:val="20"/>
    </w:rPr>
  </w:style>
  <w:style w:type="paragraph" w:customStyle="1" w:styleId="4">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Normal Indent"/>
    <w:basedOn w:val="1"/>
    <w:next w:val="1"/>
    <w:autoRedefine/>
    <w:qFormat/>
    <w:uiPriority w:val="0"/>
    <w:pPr>
      <w:ind w:firstLine="420" w:firstLineChars="200"/>
    </w:pPr>
  </w:style>
  <w:style w:type="paragraph" w:styleId="9">
    <w:name w:val="annotation text"/>
    <w:basedOn w:val="1"/>
    <w:link w:val="27"/>
    <w:autoRedefine/>
    <w:qFormat/>
    <w:uiPriority w:val="0"/>
    <w:pPr>
      <w:jc w:val="left"/>
    </w:pPr>
    <w:rPr>
      <w:rFonts w:ascii="Times New Roman" w:hAnsi="Times New Roman" w:eastAsia="宋体" w:cs="Times New Roman"/>
      <w:szCs w:val="24"/>
    </w:rPr>
  </w:style>
  <w:style w:type="paragraph" w:styleId="10">
    <w:name w:val="Body Text Indent"/>
    <w:basedOn w:val="1"/>
    <w:autoRedefine/>
    <w:qFormat/>
    <w:uiPriority w:val="0"/>
    <w:pPr>
      <w:spacing w:line="320" w:lineRule="exact"/>
      <w:ind w:firstLine="570"/>
    </w:pPr>
    <w:rPr>
      <w:rFonts w:ascii="宋体"/>
      <w:szCs w:val="20"/>
    </w:rPr>
  </w:style>
  <w:style w:type="paragraph" w:styleId="11">
    <w:name w:val="Plain Text"/>
    <w:basedOn w:val="1"/>
    <w:link w:val="28"/>
    <w:autoRedefine/>
    <w:qFormat/>
    <w:uiPriority w:val="0"/>
    <w:rPr>
      <w:rFonts w:ascii="宋体" w:hAnsi="Courier New" w:eastAsia="宋体" w:cs="Times New Roman"/>
      <w:szCs w:val="21"/>
    </w:rPr>
  </w:style>
  <w:style w:type="paragraph" w:styleId="12">
    <w:name w:val="Balloon Text"/>
    <w:basedOn w:val="1"/>
    <w:autoRedefine/>
    <w:qFormat/>
    <w:uiPriority w:val="0"/>
    <w:rPr>
      <w:rFonts w:ascii="Times New Roman" w:hAnsi="Times New Roman" w:eastAsia="宋体" w:cs="Times New Roman"/>
      <w:sz w:val="18"/>
      <w:szCs w:val="18"/>
    </w:rPr>
  </w:style>
  <w:style w:type="paragraph" w:styleId="13">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5">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6">
    <w:name w:val="Body Text First Indent"/>
    <w:basedOn w:val="3"/>
    <w:autoRedefine/>
    <w:qFormat/>
    <w:uiPriority w:val="0"/>
    <w:pPr>
      <w:ind w:firstLine="420" w:firstLineChars="100"/>
    </w:pPr>
    <w:rPr>
      <w:rFonts w:ascii="Times New Roman" w:hAnsi="Times New Roman" w:eastAsia="宋体" w:cs="Times New Roman"/>
      <w:sz w:val="21"/>
      <w:szCs w:val="24"/>
    </w:rPr>
  </w:style>
  <w:style w:type="paragraph" w:styleId="17">
    <w:name w:val="Body Text First Indent 2"/>
    <w:basedOn w:val="10"/>
    <w:autoRedefine/>
    <w:qFormat/>
    <w:uiPriority w:val="0"/>
    <w:pPr>
      <w:ind w:firstLine="200" w:firstLineChars="200"/>
    </w:pPr>
  </w:style>
  <w:style w:type="table" w:styleId="19">
    <w:name w:val="Table Grid"/>
    <w:basedOn w:val="1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rPr>
      <w:rFonts w:ascii="Times New Roman" w:hAnsi="Times New Roman" w:eastAsia="宋体" w:cs="Times New Roman"/>
    </w:rPr>
  </w:style>
  <w:style w:type="character" w:styleId="22">
    <w:name w:val="FollowedHyperlink"/>
    <w:autoRedefine/>
    <w:qFormat/>
    <w:uiPriority w:val="0"/>
    <w:rPr>
      <w:rFonts w:ascii="Times New Roman" w:hAnsi="Times New Roman" w:eastAsia="宋体" w:cs="Times New Roman"/>
      <w:color w:val="954F72"/>
      <w:szCs w:val="24"/>
      <w:u w:val="single"/>
    </w:rPr>
  </w:style>
  <w:style w:type="character" w:styleId="23">
    <w:name w:val="Hyperlink"/>
    <w:autoRedefine/>
    <w:qFormat/>
    <w:uiPriority w:val="0"/>
    <w:rPr>
      <w:rFonts w:ascii="Times New Roman" w:hAnsi="Times New Roman" w:eastAsia="宋体" w:cs="Times New Roman"/>
      <w:color w:val="0000FF"/>
      <w:szCs w:val="24"/>
      <w:u w:val="single"/>
    </w:rPr>
  </w:style>
  <w:style w:type="character" w:customStyle="1" w:styleId="24">
    <w:name w:val="正文文本 字符"/>
    <w:link w:val="3"/>
    <w:autoRedefine/>
    <w:qFormat/>
    <w:uiPriority w:val="0"/>
    <w:rPr>
      <w:rFonts w:ascii="Times New Roman" w:hAnsi="Times New Roman" w:eastAsia="宋体" w:cs="Times New Roman"/>
      <w:kern w:val="2"/>
      <w:sz w:val="32"/>
    </w:rPr>
  </w:style>
  <w:style w:type="character" w:customStyle="1" w:styleId="25">
    <w:name w:val="标题 2 字符"/>
    <w:link w:val="6"/>
    <w:autoRedefine/>
    <w:qFormat/>
    <w:uiPriority w:val="0"/>
    <w:rPr>
      <w:rFonts w:ascii="宋体" w:hAnsi="宋体" w:eastAsia="宋体" w:cs="Times New Roman"/>
      <w:b/>
      <w:bCs/>
      <w:kern w:val="2"/>
      <w:sz w:val="28"/>
      <w:szCs w:val="32"/>
    </w:rPr>
  </w:style>
  <w:style w:type="character" w:customStyle="1" w:styleId="26">
    <w:name w:val="标题 3 字符"/>
    <w:link w:val="7"/>
    <w:autoRedefine/>
    <w:qFormat/>
    <w:uiPriority w:val="0"/>
    <w:rPr>
      <w:rFonts w:ascii="Times New Roman" w:hAnsi="Times New Roman" w:eastAsia="宋体" w:cs="Times New Roman"/>
      <w:b/>
      <w:bCs/>
      <w:kern w:val="2"/>
      <w:sz w:val="32"/>
      <w:szCs w:val="32"/>
    </w:rPr>
  </w:style>
  <w:style w:type="character" w:customStyle="1" w:styleId="27">
    <w:name w:val="批注文字 字符"/>
    <w:link w:val="9"/>
    <w:autoRedefine/>
    <w:qFormat/>
    <w:uiPriority w:val="0"/>
    <w:rPr>
      <w:rFonts w:ascii="Times New Roman" w:hAnsi="Times New Roman" w:eastAsia="宋体" w:cs="Times New Roman"/>
      <w:kern w:val="2"/>
      <w:sz w:val="21"/>
      <w:szCs w:val="24"/>
    </w:rPr>
  </w:style>
  <w:style w:type="character" w:customStyle="1" w:styleId="28">
    <w:name w:val="纯文本 字符"/>
    <w:link w:val="11"/>
    <w:autoRedefine/>
    <w:qFormat/>
    <w:uiPriority w:val="0"/>
    <w:rPr>
      <w:rFonts w:ascii="宋体" w:hAnsi="Courier New" w:eastAsia="宋体" w:cs="Courier New"/>
      <w:kern w:val="2"/>
      <w:sz w:val="21"/>
      <w:szCs w:val="21"/>
    </w:rPr>
  </w:style>
  <w:style w:type="character" w:customStyle="1" w:styleId="29">
    <w:name w:val="纯文本 Char1"/>
    <w:autoRedefine/>
    <w:qFormat/>
    <w:uiPriority w:val="0"/>
    <w:rPr>
      <w:rFonts w:ascii="宋体" w:hAnsi="Courier New" w:eastAsia="宋体" w:cs="Courier New"/>
      <w:kern w:val="2"/>
      <w:sz w:val="21"/>
      <w:szCs w:val="21"/>
    </w:rPr>
  </w:style>
  <w:style w:type="character" w:customStyle="1" w:styleId="30">
    <w:name w:val="批注文字 Char1"/>
    <w:autoRedefine/>
    <w:qFormat/>
    <w:uiPriority w:val="0"/>
    <w:rPr>
      <w:rFonts w:ascii="Times New Roman" w:hAnsi="Times New Roman" w:eastAsia="宋体" w:cs="Times New Roman"/>
      <w:kern w:val="2"/>
      <w:sz w:val="21"/>
      <w:szCs w:val="24"/>
    </w:rPr>
  </w:style>
  <w:style w:type="character" w:customStyle="1" w:styleId="31">
    <w:name w:val=" Char Char"/>
    <w:autoRedefine/>
    <w:qFormat/>
    <w:uiPriority w:val="0"/>
    <w:rPr>
      <w:rFonts w:ascii="宋体" w:hAnsi="Courier New" w:eastAsia="宋体" w:cs="Courier New"/>
      <w:kern w:val="2"/>
      <w:sz w:val="21"/>
      <w:szCs w:val="21"/>
    </w:rPr>
  </w:style>
  <w:style w:type="paragraph" w:customStyle="1" w:styleId="32">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3">
    <w:name w:val="Char Char Char Char Char Char Char"/>
    <w:basedOn w:val="1"/>
    <w:autoRedefine/>
    <w:qFormat/>
    <w:uiPriority w:val="0"/>
    <w:rPr>
      <w:rFonts w:ascii="Times New Roman" w:hAnsi="Times New Roman" w:eastAsia="宋体" w:cs="Times New Roman"/>
      <w:szCs w:val="24"/>
    </w:rPr>
  </w:style>
  <w:style w:type="paragraph" w:customStyle="1" w:styleId="34">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7">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9">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1">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2">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3">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4">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5">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6">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7">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8">
    <w:name w:val="标题 3 Char"/>
    <w:link w:val="7"/>
    <w:autoRedefine/>
    <w:qFormat/>
    <w:uiPriority w:val="0"/>
    <w:rPr>
      <w:rFonts w:ascii="宋体" w:hAnsi="宋体"/>
      <w:b/>
      <w:bCs/>
      <w:kern w:val="2"/>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42</Pages>
  <Words>20414</Words>
  <Characters>21525</Characters>
  <Lines>173</Lines>
  <Paragraphs>48</Paragraphs>
  <TotalTime>5</TotalTime>
  <ScaleCrop>false</ScaleCrop>
  <LinksUpToDate>false</LinksUpToDate>
  <CharactersWithSpaces>23965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2026-03-14T13:57:07Z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C95D9CE377B34E58A176D3BD052FA55C_13</vt:lpwstr>
  </property>
  <property fmtid="{D5CDD505-2E9C-101B-9397-08002B2CF9AE}" pid="4" name="KSOTemplateDocerSaveRecord">
    <vt:lpwstr>eyJoZGlkIjoiOGM3MzFjN2VmYWE3ZjVlZWQwZWRiMzBmNzAzZmVkZjkiLCJ1c2VySWQiOiIzOTUxOTg4NTgifQ==</vt:lpwstr>
  </property>
</Properties>
</file>